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79700" w14:textId="77777777" w:rsidR="00125312" w:rsidRPr="001A4ED5" w:rsidRDefault="00FD56C3">
      <w:pPr>
        <w:pStyle w:val="BodyText"/>
        <w:spacing w:before="0"/>
        <w:ind w:left="3148"/>
        <w:rPr>
          <w:rFonts w:ascii="Times New Roman"/>
          <w:sz w:val="20"/>
          <w:lang w:val="es-ES_tradnl"/>
        </w:rPr>
      </w:pPr>
      <w:r w:rsidRPr="001A4ED5">
        <w:rPr>
          <w:rFonts w:ascii="Times New Roman"/>
          <w:noProof/>
          <w:sz w:val="20"/>
          <w:lang w:val="es-ES_tradnl"/>
        </w:rPr>
        <w:drawing>
          <wp:inline distT="0" distB="0" distL="0" distR="0" wp14:anchorId="27D97161" wp14:editId="5BDF6450">
            <wp:extent cx="2099249" cy="9753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99249" cy="975359"/>
                    </a:xfrm>
                    <a:prstGeom prst="rect">
                      <a:avLst/>
                    </a:prstGeom>
                  </pic:spPr>
                </pic:pic>
              </a:graphicData>
            </a:graphic>
          </wp:inline>
        </w:drawing>
      </w:r>
    </w:p>
    <w:p w14:paraId="64458DD9" w14:textId="77777777" w:rsidR="00125312" w:rsidRPr="001A4ED5" w:rsidRDefault="00125312">
      <w:pPr>
        <w:pStyle w:val="BodyText"/>
        <w:spacing w:before="0"/>
        <w:ind w:left="0"/>
        <w:rPr>
          <w:rFonts w:ascii="Times New Roman"/>
          <w:sz w:val="20"/>
          <w:lang w:val="es-ES_tradnl"/>
        </w:rPr>
      </w:pPr>
    </w:p>
    <w:p w14:paraId="5B5FAFCC" w14:textId="605C31E3" w:rsidR="00125312" w:rsidRPr="001A4ED5" w:rsidRDefault="00CE706C">
      <w:pPr>
        <w:spacing w:before="180"/>
        <w:ind w:left="120"/>
        <w:rPr>
          <w:b/>
          <w:sz w:val="32"/>
          <w:lang w:val="es-ES_tradnl"/>
        </w:rPr>
      </w:pPr>
      <w:r>
        <w:rPr>
          <w:b/>
          <w:color w:val="006FC0"/>
          <w:sz w:val="32"/>
          <w:lang w:val="es-ES_tradnl"/>
        </w:rPr>
        <w:t>P</w:t>
      </w:r>
      <w:r w:rsidRPr="00CE706C">
        <w:rPr>
          <w:b/>
          <w:color w:val="006FC0"/>
          <w:sz w:val="32"/>
          <w:lang w:val="es-ES_tradnl"/>
        </w:rPr>
        <w:t>óliza</w:t>
      </w:r>
      <w:r w:rsidR="00FD56C3" w:rsidRPr="001A4ED5">
        <w:rPr>
          <w:b/>
          <w:color w:val="006FC0"/>
          <w:sz w:val="32"/>
          <w:lang w:val="es-ES_tradnl"/>
        </w:rPr>
        <w:t xml:space="preserve"> de Morosidad de EMWD</w:t>
      </w:r>
    </w:p>
    <w:p w14:paraId="00E80984" w14:textId="77777777" w:rsidR="00125312" w:rsidRPr="001A4ED5" w:rsidRDefault="00FD56C3">
      <w:pPr>
        <w:pStyle w:val="BodyText"/>
        <w:spacing w:before="192"/>
        <w:ind w:left="120"/>
        <w:rPr>
          <w:sz w:val="21"/>
          <w:szCs w:val="21"/>
          <w:lang w:val="es-ES_tradnl"/>
        </w:rPr>
      </w:pPr>
      <w:r w:rsidRPr="001A4ED5">
        <w:rPr>
          <w:sz w:val="21"/>
          <w:szCs w:val="21"/>
          <w:lang w:val="es-ES_tradnl"/>
        </w:rPr>
        <w:t>Según el Código Administrativo de EMWD, Artículo 7, Sección 5.702: SUSPENSIÓN DEL SERVICIO, parte (b):</w:t>
      </w:r>
    </w:p>
    <w:p w14:paraId="60C1CFB6" w14:textId="3134642B" w:rsidR="00125312" w:rsidRPr="001A4ED5" w:rsidRDefault="00FD56C3">
      <w:pPr>
        <w:pStyle w:val="ListParagraph"/>
        <w:numPr>
          <w:ilvl w:val="0"/>
          <w:numId w:val="3"/>
        </w:numPr>
        <w:tabs>
          <w:tab w:val="left" w:pos="840"/>
        </w:tabs>
        <w:spacing w:before="180" w:line="259" w:lineRule="auto"/>
        <w:ind w:right="166"/>
        <w:rPr>
          <w:sz w:val="21"/>
          <w:szCs w:val="21"/>
          <w:lang w:val="es-ES_tradnl"/>
        </w:rPr>
      </w:pPr>
      <w:r w:rsidRPr="001A4ED5">
        <w:rPr>
          <w:sz w:val="21"/>
          <w:szCs w:val="21"/>
          <w:lang w:val="es-ES_tradnl"/>
        </w:rPr>
        <w:t xml:space="preserve">El servicio residencial solo puede suspenderse por falta de pago de una cuenta morosa si se envía al Cliente por correo un aviso de morosidad y suspensión inminente al menos 26 días después de que se haya emitido la factura inicial. A los clientes que no paguen su factura a tiempo se les aplicará un recargo por pago atrasado, que será establecido por la Junta Directivas e incorporado en el Plan Consolidado de Tarifas, Recargos y Cargos, según se actualice periódicamente. Si el cliente no paga esa factura, se enviará por correo un Aviso de Intención de Interrumpir el Servicio y se le notificará al cliente que pague su factura dentro de los diez días para evitar el corte </w:t>
      </w:r>
      <w:proofErr w:type="spellStart"/>
      <w:r w:rsidRPr="001A4ED5">
        <w:rPr>
          <w:sz w:val="21"/>
          <w:szCs w:val="21"/>
          <w:lang w:val="es-ES_tradnl"/>
        </w:rPr>
        <w:t xml:space="preserve">de </w:t>
      </w:r>
      <w:r w:rsidR="00E56DB9">
        <w:rPr>
          <w:sz w:val="21"/>
          <w:szCs w:val="21"/>
          <w:lang w:val="es-ES_tradnl"/>
        </w:rPr>
        <w:t>el</w:t>
      </w:r>
      <w:bookmarkStart w:id="0" w:name="_GoBack"/>
      <w:bookmarkEnd w:id="0"/>
      <w:proofErr w:type="spellEnd"/>
      <w:r w:rsidRPr="001A4ED5">
        <w:rPr>
          <w:sz w:val="21"/>
          <w:szCs w:val="21"/>
          <w:lang w:val="es-ES_tradnl"/>
        </w:rPr>
        <w:t xml:space="preserve"> servicio. El aviso de suspensión también se enviará al menos 10 días antes de la fecha de suspensión a los usuarios reales cuando el servicio se proporcione a una estructura residencial de múltiples unidades o a </w:t>
      </w:r>
      <w:proofErr w:type="gramStart"/>
      <w:r w:rsidRPr="001A4ED5">
        <w:rPr>
          <w:sz w:val="21"/>
          <w:szCs w:val="21"/>
          <w:lang w:val="es-ES_tradnl"/>
        </w:rPr>
        <w:t xml:space="preserve">un </w:t>
      </w:r>
      <w:r w:rsidR="00E56DB9">
        <w:rPr>
          <w:sz w:val="21"/>
          <w:szCs w:val="21"/>
          <w:lang w:val="es-ES_tradnl"/>
        </w:rPr>
        <w:t>propiedad</w:t>
      </w:r>
      <w:proofErr w:type="gramEnd"/>
      <w:r w:rsidRPr="001A4ED5">
        <w:rPr>
          <w:sz w:val="21"/>
          <w:szCs w:val="21"/>
          <w:lang w:val="es-ES_tradnl"/>
        </w:rPr>
        <w:t xml:space="preserve"> de casas móviles y el propietario o gerente sea el Cliente registrado.</w:t>
      </w:r>
    </w:p>
    <w:p w14:paraId="064A7341" w14:textId="77777777" w:rsidR="00125312" w:rsidRPr="001A4ED5" w:rsidRDefault="00FD56C3">
      <w:pPr>
        <w:pStyle w:val="ListParagraph"/>
        <w:numPr>
          <w:ilvl w:val="0"/>
          <w:numId w:val="3"/>
        </w:numPr>
        <w:tabs>
          <w:tab w:val="left" w:pos="840"/>
        </w:tabs>
        <w:spacing w:before="157"/>
        <w:ind w:hanging="361"/>
        <w:rPr>
          <w:sz w:val="21"/>
          <w:szCs w:val="21"/>
          <w:lang w:val="es-ES_tradnl"/>
        </w:rPr>
      </w:pPr>
      <w:r w:rsidRPr="001A4ED5">
        <w:rPr>
          <w:sz w:val="21"/>
          <w:szCs w:val="21"/>
          <w:lang w:val="es-ES_tradnl"/>
        </w:rPr>
        <w:t>El servicio residencial no se suspenderá por falta de pago:</w:t>
      </w:r>
    </w:p>
    <w:p w14:paraId="71344666" w14:textId="77777777" w:rsidR="00125312" w:rsidRPr="001A4ED5" w:rsidRDefault="00FD56C3">
      <w:pPr>
        <w:pStyle w:val="ListParagraph"/>
        <w:numPr>
          <w:ilvl w:val="1"/>
          <w:numId w:val="3"/>
        </w:numPr>
        <w:tabs>
          <w:tab w:val="left" w:pos="1200"/>
        </w:tabs>
        <w:spacing w:before="182"/>
        <w:rPr>
          <w:sz w:val="21"/>
          <w:szCs w:val="21"/>
          <w:lang w:val="es-ES_tradnl"/>
        </w:rPr>
      </w:pPr>
      <w:r w:rsidRPr="001A4ED5">
        <w:rPr>
          <w:sz w:val="21"/>
          <w:szCs w:val="21"/>
          <w:lang w:val="es-ES_tradnl"/>
        </w:rPr>
        <w:t>Hasta que el pago por parte de un Cliente haya estado en mora durante al menos 60 días.</w:t>
      </w:r>
    </w:p>
    <w:p w14:paraId="7D7DA353" w14:textId="77777777" w:rsidR="00125312" w:rsidRPr="001A4ED5" w:rsidRDefault="00FD56C3">
      <w:pPr>
        <w:pStyle w:val="ListParagraph"/>
        <w:numPr>
          <w:ilvl w:val="1"/>
          <w:numId w:val="3"/>
        </w:numPr>
        <w:tabs>
          <w:tab w:val="left" w:pos="1201"/>
        </w:tabs>
        <w:spacing w:before="181" w:line="259" w:lineRule="auto"/>
        <w:ind w:left="1200" w:right="353"/>
        <w:rPr>
          <w:sz w:val="21"/>
          <w:szCs w:val="21"/>
          <w:lang w:val="es-ES_tradnl"/>
        </w:rPr>
      </w:pPr>
      <w:r w:rsidRPr="001A4ED5">
        <w:rPr>
          <w:sz w:val="21"/>
          <w:szCs w:val="21"/>
          <w:lang w:val="es-ES_tradnl"/>
        </w:rPr>
        <w:t>Mientras la investigación por parte del Gerente General de una disputa o queja de un cliente esté pendiente.</w:t>
      </w:r>
    </w:p>
    <w:p w14:paraId="57EF931F" w14:textId="77777777" w:rsidR="00125312" w:rsidRPr="001A4ED5" w:rsidRDefault="00FD56C3">
      <w:pPr>
        <w:pStyle w:val="ListParagraph"/>
        <w:numPr>
          <w:ilvl w:val="1"/>
          <w:numId w:val="3"/>
        </w:numPr>
        <w:tabs>
          <w:tab w:val="left" w:pos="1201"/>
        </w:tabs>
        <w:ind w:left="1200"/>
        <w:rPr>
          <w:sz w:val="21"/>
          <w:szCs w:val="21"/>
          <w:lang w:val="es-ES_tradnl"/>
        </w:rPr>
      </w:pPr>
      <w:r w:rsidRPr="001A4ED5">
        <w:rPr>
          <w:sz w:val="21"/>
          <w:szCs w:val="21"/>
          <w:lang w:val="es-ES_tradnl"/>
        </w:rPr>
        <w:t>Cuando al Cliente se le ha otorgado una extensión.</w:t>
      </w:r>
    </w:p>
    <w:p w14:paraId="1CEC02BA" w14:textId="77777777" w:rsidR="00125312" w:rsidRPr="001A4ED5" w:rsidRDefault="00FD56C3">
      <w:pPr>
        <w:pStyle w:val="ListParagraph"/>
        <w:numPr>
          <w:ilvl w:val="1"/>
          <w:numId w:val="3"/>
        </w:numPr>
        <w:tabs>
          <w:tab w:val="left" w:pos="1201"/>
        </w:tabs>
        <w:spacing w:before="182"/>
        <w:ind w:left="1200"/>
        <w:rPr>
          <w:sz w:val="21"/>
          <w:szCs w:val="21"/>
          <w:lang w:val="es-ES_tradnl"/>
        </w:rPr>
      </w:pPr>
      <w:r w:rsidRPr="001A4ED5">
        <w:rPr>
          <w:sz w:val="21"/>
          <w:szCs w:val="21"/>
          <w:lang w:val="es-ES_tradnl"/>
        </w:rPr>
        <w:t>Si se cumplen todas las condiciones siguientes:</w:t>
      </w:r>
    </w:p>
    <w:p w14:paraId="253153B7" w14:textId="77777777" w:rsidR="00125312" w:rsidRPr="001A4ED5" w:rsidRDefault="00FD56C3">
      <w:pPr>
        <w:pStyle w:val="ListParagraph"/>
        <w:numPr>
          <w:ilvl w:val="2"/>
          <w:numId w:val="3"/>
        </w:numPr>
        <w:tabs>
          <w:tab w:val="left" w:pos="1560"/>
        </w:tabs>
        <w:spacing w:before="181" w:line="256" w:lineRule="auto"/>
        <w:ind w:right="378"/>
        <w:rPr>
          <w:sz w:val="21"/>
          <w:szCs w:val="21"/>
          <w:lang w:val="es-ES_tradnl"/>
        </w:rPr>
      </w:pPr>
      <w:r w:rsidRPr="001A4ED5">
        <w:rPr>
          <w:sz w:val="21"/>
          <w:szCs w:val="21"/>
          <w:lang w:val="es-ES_tradnl"/>
        </w:rPr>
        <w:t>El Cliente, o un inquilino del cliente, presenta la certificación de un proveedor de atención primaria que indique que la interrupción del servicio residencial pondrá en peligro la vida o representará una amenaza grave para la salud y la seguridad de un residente de las instalaciones donde se brinda servicio residencial; y</w:t>
      </w:r>
    </w:p>
    <w:p w14:paraId="70656B85" w14:textId="77777777" w:rsidR="00125312" w:rsidRPr="001A4ED5" w:rsidRDefault="00FD56C3">
      <w:pPr>
        <w:pStyle w:val="ListParagraph"/>
        <w:numPr>
          <w:ilvl w:val="2"/>
          <w:numId w:val="3"/>
        </w:numPr>
        <w:tabs>
          <w:tab w:val="left" w:pos="1560"/>
        </w:tabs>
        <w:spacing w:before="164" w:line="254" w:lineRule="auto"/>
        <w:ind w:right="757"/>
        <w:rPr>
          <w:sz w:val="21"/>
          <w:szCs w:val="21"/>
          <w:lang w:val="es-ES_tradnl"/>
        </w:rPr>
      </w:pPr>
      <w:r w:rsidRPr="001A4ED5">
        <w:rPr>
          <w:sz w:val="21"/>
          <w:szCs w:val="21"/>
          <w:lang w:val="es-ES_tradnl"/>
        </w:rPr>
        <w:t>El Cliente demuestra que no puede pagar financieramente por el servicio residencial porque:</w:t>
      </w:r>
    </w:p>
    <w:p w14:paraId="7DDAB790" w14:textId="77777777" w:rsidR="00125312" w:rsidRPr="001A4ED5" w:rsidRDefault="00FD56C3">
      <w:pPr>
        <w:pStyle w:val="ListParagraph"/>
        <w:numPr>
          <w:ilvl w:val="3"/>
          <w:numId w:val="3"/>
        </w:numPr>
        <w:tabs>
          <w:tab w:val="left" w:pos="1921"/>
        </w:tabs>
        <w:spacing w:before="163" w:line="259" w:lineRule="auto"/>
        <w:ind w:right="347"/>
        <w:rPr>
          <w:sz w:val="21"/>
          <w:szCs w:val="21"/>
          <w:lang w:val="es-ES_tradnl"/>
        </w:rPr>
      </w:pPr>
      <w:r w:rsidRPr="001A4ED5">
        <w:rPr>
          <w:sz w:val="21"/>
          <w:szCs w:val="21"/>
          <w:lang w:val="es-ES_tradnl"/>
        </w:rPr>
        <w:t xml:space="preserve">Cualquier miembro del hogar es un beneficiario actual de </w:t>
      </w:r>
      <w:proofErr w:type="spellStart"/>
      <w:r w:rsidRPr="001A4ED5">
        <w:rPr>
          <w:sz w:val="21"/>
          <w:szCs w:val="21"/>
          <w:lang w:val="es-ES_tradnl"/>
        </w:rPr>
        <w:t>CalWORKS</w:t>
      </w:r>
      <w:proofErr w:type="spellEnd"/>
      <w:r w:rsidRPr="001A4ED5">
        <w:rPr>
          <w:sz w:val="21"/>
          <w:szCs w:val="21"/>
          <w:lang w:val="es-ES_tradnl"/>
        </w:rPr>
        <w:t xml:space="preserve">, </w:t>
      </w:r>
      <w:proofErr w:type="spellStart"/>
      <w:r w:rsidRPr="001A4ED5">
        <w:rPr>
          <w:sz w:val="21"/>
          <w:szCs w:val="21"/>
          <w:lang w:val="es-ES_tradnl"/>
        </w:rPr>
        <w:t>CalFresh</w:t>
      </w:r>
      <w:proofErr w:type="spellEnd"/>
      <w:r w:rsidRPr="001A4ED5">
        <w:rPr>
          <w:sz w:val="21"/>
          <w:szCs w:val="21"/>
          <w:lang w:val="es-ES_tradnl"/>
        </w:rPr>
        <w:t xml:space="preserve">, asistencia general, </w:t>
      </w:r>
      <w:proofErr w:type="spellStart"/>
      <w:r w:rsidRPr="001A4ED5">
        <w:rPr>
          <w:sz w:val="21"/>
          <w:szCs w:val="21"/>
          <w:lang w:val="es-ES_tradnl"/>
        </w:rPr>
        <w:t>Medi</w:t>
      </w:r>
      <w:proofErr w:type="spellEnd"/>
      <w:r w:rsidRPr="001A4ED5">
        <w:rPr>
          <w:sz w:val="21"/>
          <w:szCs w:val="21"/>
          <w:lang w:val="es-ES_tradnl"/>
        </w:rPr>
        <w:t xml:space="preserve">-Cal, </w:t>
      </w:r>
      <w:proofErr w:type="spellStart"/>
      <w:r w:rsidRPr="001A4ED5">
        <w:rPr>
          <w:sz w:val="21"/>
          <w:szCs w:val="21"/>
          <w:lang w:val="es-ES_tradnl"/>
        </w:rPr>
        <w:t>Medi</w:t>
      </w:r>
      <w:proofErr w:type="spellEnd"/>
      <w:r w:rsidRPr="001A4ED5">
        <w:rPr>
          <w:sz w:val="21"/>
          <w:szCs w:val="21"/>
          <w:lang w:val="es-ES_tradnl"/>
        </w:rPr>
        <w:t>-Cal, Ingresos de Seguridad Suplementarios/Programa de Pago Suplementario del Estado o del Programa Especial Suplementario de Nutrición de California para Mujeres, Bebés y Niños; o</w:t>
      </w:r>
    </w:p>
    <w:p w14:paraId="4AC0FF08" w14:textId="77777777" w:rsidR="00125312" w:rsidRPr="001A4ED5" w:rsidRDefault="00FD56C3">
      <w:pPr>
        <w:pStyle w:val="ListParagraph"/>
        <w:numPr>
          <w:ilvl w:val="3"/>
          <w:numId w:val="3"/>
        </w:numPr>
        <w:tabs>
          <w:tab w:val="left" w:pos="1921"/>
        </w:tabs>
        <w:spacing w:line="256" w:lineRule="auto"/>
        <w:ind w:right="208"/>
        <w:rPr>
          <w:sz w:val="21"/>
          <w:szCs w:val="21"/>
          <w:lang w:val="es-ES_tradnl"/>
        </w:rPr>
      </w:pPr>
      <w:r w:rsidRPr="001A4ED5">
        <w:rPr>
          <w:sz w:val="21"/>
          <w:szCs w:val="21"/>
          <w:lang w:val="es-ES_tradnl"/>
        </w:rPr>
        <w:t>El Cliente declara que los ingresos anuales del hogar son inferiores al 200 por ciento del nivel federal de pobreza; y</w:t>
      </w:r>
    </w:p>
    <w:p w14:paraId="6904A926" w14:textId="77777777" w:rsidR="00125312" w:rsidRPr="001A4ED5" w:rsidRDefault="00FD56C3">
      <w:pPr>
        <w:pStyle w:val="ListParagraph"/>
        <w:numPr>
          <w:ilvl w:val="3"/>
          <w:numId w:val="3"/>
        </w:numPr>
        <w:tabs>
          <w:tab w:val="left" w:pos="1921"/>
        </w:tabs>
        <w:spacing w:before="165" w:line="259" w:lineRule="auto"/>
        <w:ind w:right="423"/>
        <w:rPr>
          <w:sz w:val="21"/>
          <w:szCs w:val="21"/>
          <w:lang w:val="es-ES_tradnl"/>
        </w:rPr>
      </w:pPr>
      <w:r w:rsidRPr="001A4ED5">
        <w:rPr>
          <w:sz w:val="21"/>
          <w:szCs w:val="21"/>
          <w:lang w:val="es-ES_tradnl"/>
        </w:rPr>
        <w:t>El Cliente está dispuesto a aceptar un acuerdo de amortización, un plan de pago alternativo o un plan de pago aplazado o reducido, con respecto a todos los cargos morosos durante un período que no exceda los 12 meses.</w:t>
      </w:r>
    </w:p>
    <w:p w14:paraId="72DA0F70" w14:textId="77777777" w:rsidR="00125312" w:rsidRPr="001A4ED5" w:rsidRDefault="00125312">
      <w:pPr>
        <w:spacing w:line="259" w:lineRule="auto"/>
        <w:rPr>
          <w:sz w:val="21"/>
          <w:szCs w:val="21"/>
          <w:lang w:val="es-ES_tradnl"/>
        </w:rPr>
        <w:sectPr w:rsidR="00125312" w:rsidRPr="001A4ED5">
          <w:footerReference w:type="default" r:id="rId8"/>
          <w:type w:val="continuous"/>
          <w:pgSz w:w="12240" w:h="15840"/>
          <w:pgMar w:top="440" w:right="1320" w:bottom="980" w:left="1320" w:header="720" w:footer="793" w:gutter="0"/>
          <w:pgNumType w:start="1"/>
          <w:cols w:space="720"/>
        </w:sectPr>
      </w:pPr>
    </w:p>
    <w:p w14:paraId="328F2676" w14:textId="77777777" w:rsidR="00125312" w:rsidRPr="001A4ED5" w:rsidRDefault="00125312">
      <w:pPr>
        <w:pStyle w:val="BodyText"/>
        <w:spacing w:before="5"/>
        <w:ind w:left="0"/>
        <w:rPr>
          <w:sz w:val="21"/>
          <w:szCs w:val="21"/>
          <w:lang w:val="es-ES_tradnl"/>
        </w:rPr>
      </w:pPr>
    </w:p>
    <w:p w14:paraId="38C35090" w14:textId="77777777" w:rsidR="00125312" w:rsidRPr="001A4ED5" w:rsidRDefault="00FD56C3">
      <w:pPr>
        <w:pStyle w:val="Heading1"/>
        <w:rPr>
          <w:sz w:val="21"/>
          <w:szCs w:val="21"/>
          <w:lang w:val="es-ES_tradnl"/>
        </w:rPr>
      </w:pPr>
      <w:r w:rsidRPr="001A4ED5">
        <w:rPr>
          <w:sz w:val="21"/>
          <w:szCs w:val="21"/>
          <w:lang w:val="es-ES_tradnl"/>
        </w:rPr>
        <w:t>Opciones Adicionales de Asistencia de Pago</w:t>
      </w:r>
    </w:p>
    <w:p w14:paraId="37F67A08" w14:textId="77777777" w:rsidR="00125312" w:rsidRPr="001A4ED5" w:rsidRDefault="00FD56C3">
      <w:pPr>
        <w:pStyle w:val="ListParagraph"/>
        <w:numPr>
          <w:ilvl w:val="0"/>
          <w:numId w:val="2"/>
        </w:numPr>
        <w:tabs>
          <w:tab w:val="left" w:pos="840"/>
          <w:tab w:val="left" w:pos="841"/>
        </w:tabs>
        <w:spacing w:before="181"/>
        <w:rPr>
          <w:sz w:val="21"/>
          <w:szCs w:val="21"/>
          <w:lang w:val="es-ES_tradnl"/>
        </w:rPr>
      </w:pPr>
      <w:r w:rsidRPr="001A4ED5">
        <w:rPr>
          <w:sz w:val="21"/>
          <w:szCs w:val="21"/>
          <w:lang w:val="es-ES_tradnl"/>
        </w:rPr>
        <w:t>Plan de Pago Equilibrado – Pague su factura en pagos mensuales iguales.</w:t>
      </w:r>
    </w:p>
    <w:p w14:paraId="05B456F5" w14:textId="77777777" w:rsidR="00125312" w:rsidRPr="001A4ED5" w:rsidRDefault="00FD56C3">
      <w:pPr>
        <w:pStyle w:val="ListParagraph"/>
        <w:numPr>
          <w:ilvl w:val="1"/>
          <w:numId w:val="2"/>
        </w:numPr>
        <w:tabs>
          <w:tab w:val="left" w:pos="1559"/>
          <w:tab w:val="left" w:pos="1561"/>
        </w:tabs>
        <w:spacing w:before="180" w:line="252" w:lineRule="auto"/>
        <w:ind w:right="400"/>
        <w:rPr>
          <w:sz w:val="21"/>
          <w:szCs w:val="21"/>
          <w:lang w:val="es-ES_tradnl"/>
        </w:rPr>
      </w:pPr>
      <w:r w:rsidRPr="001A4ED5">
        <w:rPr>
          <w:sz w:val="21"/>
          <w:szCs w:val="21"/>
          <w:lang w:val="es-ES_tradnl"/>
        </w:rPr>
        <w:t>El Plan de Pago Equilibrado (LPP, por sus siglas en inglés) de EMWD brinda a los clientes la tranquilidad de pagos mensuales fijos.</w:t>
      </w:r>
    </w:p>
    <w:p w14:paraId="7278A481" w14:textId="77777777" w:rsidR="00125312" w:rsidRPr="001A4ED5" w:rsidRDefault="00FD56C3">
      <w:pPr>
        <w:pStyle w:val="ListParagraph"/>
        <w:numPr>
          <w:ilvl w:val="1"/>
          <w:numId w:val="2"/>
        </w:numPr>
        <w:tabs>
          <w:tab w:val="left" w:pos="1560"/>
          <w:tab w:val="left" w:pos="1561"/>
        </w:tabs>
        <w:spacing w:before="168" w:line="256" w:lineRule="auto"/>
        <w:ind w:right="115"/>
        <w:rPr>
          <w:sz w:val="21"/>
          <w:szCs w:val="21"/>
          <w:lang w:val="es-ES_tradnl"/>
        </w:rPr>
      </w:pPr>
      <w:r w:rsidRPr="001A4ED5">
        <w:rPr>
          <w:sz w:val="21"/>
          <w:szCs w:val="21"/>
          <w:lang w:val="es-ES_tradnl"/>
        </w:rPr>
        <w:t>EMWD utiliza el total de las facturas anticipadas del cliente para el próximo año y distribuye los pagos por igual en once (11) pagos mensuales, proporcionando un monto fijo a pagar cada mes; independientemente de los cargos reales incurridos durante ese mes.</w:t>
      </w:r>
    </w:p>
    <w:p w14:paraId="194BEF36" w14:textId="77777777" w:rsidR="00125312" w:rsidRPr="001A4ED5" w:rsidRDefault="00FD56C3">
      <w:pPr>
        <w:pStyle w:val="ListParagraph"/>
        <w:numPr>
          <w:ilvl w:val="1"/>
          <w:numId w:val="2"/>
        </w:numPr>
        <w:tabs>
          <w:tab w:val="left" w:pos="1560"/>
          <w:tab w:val="left" w:pos="1561"/>
        </w:tabs>
        <w:spacing w:before="161" w:line="256" w:lineRule="auto"/>
        <w:ind w:right="116"/>
        <w:rPr>
          <w:sz w:val="21"/>
          <w:szCs w:val="21"/>
          <w:lang w:val="es-ES_tradnl"/>
        </w:rPr>
      </w:pPr>
      <w:r w:rsidRPr="001A4ED5">
        <w:rPr>
          <w:sz w:val="21"/>
          <w:szCs w:val="21"/>
          <w:lang w:val="es-ES_tradnl"/>
        </w:rPr>
        <w:t>El duodécimo mes del ciclo del LPP es un mes de conciliación. Durante el duodécimo mes no vence ningún pago del LPP. En ese momento, se resuelve la diferencia entre los montos del LPP pagados y los montos de la factura real aplicando un crédito a la cuenta del cliente o facturando al cliente por el monto de la diferencia para el año. El ciclo del LPP comienza nuevamente en el mes siguiente.</w:t>
      </w:r>
    </w:p>
    <w:p w14:paraId="1124B852" w14:textId="69FB9E9D" w:rsidR="00125312" w:rsidRPr="001A4ED5" w:rsidRDefault="00FD56C3">
      <w:pPr>
        <w:pStyle w:val="ListParagraph"/>
        <w:numPr>
          <w:ilvl w:val="1"/>
          <w:numId w:val="2"/>
        </w:numPr>
        <w:tabs>
          <w:tab w:val="left" w:pos="1560"/>
          <w:tab w:val="left" w:pos="1561"/>
        </w:tabs>
        <w:spacing w:before="166"/>
        <w:rPr>
          <w:sz w:val="21"/>
          <w:szCs w:val="21"/>
          <w:lang w:val="es-ES_tradnl"/>
        </w:rPr>
      </w:pPr>
      <w:r w:rsidRPr="001A4ED5">
        <w:rPr>
          <w:sz w:val="21"/>
          <w:szCs w:val="21"/>
          <w:lang w:val="es-ES_tradnl"/>
        </w:rPr>
        <w:t>Para calificar para el LPP, el cliente debe cumplir con los siguientes criterios</w:t>
      </w:r>
      <w:r w:rsidR="00A56C7D">
        <w:rPr>
          <w:sz w:val="21"/>
          <w:szCs w:val="21"/>
          <w:lang w:val="es-ES_tradnl"/>
        </w:rPr>
        <w:t>:</w:t>
      </w:r>
    </w:p>
    <w:p w14:paraId="48BFE320" w14:textId="77777777" w:rsidR="00125312" w:rsidRPr="001A4ED5" w:rsidRDefault="00FD56C3">
      <w:pPr>
        <w:pStyle w:val="ListParagraph"/>
        <w:numPr>
          <w:ilvl w:val="2"/>
          <w:numId w:val="2"/>
        </w:numPr>
        <w:tabs>
          <w:tab w:val="left" w:pos="2280"/>
          <w:tab w:val="left" w:pos="2281"/>
        </w:tabs>
        <w:spacing w:before="173"/>
        <w:rPr>
          <w:sz w:val="21"/>
          <w:szCs w:val="21"/>
          <w:lang w:val="es-ES_tradnl"/>
        </w:rPr>
      </w:pPr>
      <w:r w:rsidRPr="001A4ED5">
        <w:rPr>
          <w:sz w:val="21"/>
          <w:szCs w:val="21"/>
          <w:lang w:val="es-ES_tradnl"/>
        </w:rPr>
        <w:t>EMWD factura directamente al cliente por los servicios de agua y/o alcantarillado.</w:t>
      </w:r>
    </w:p>
    <w:p w14:paraId="04792B74" w14:textId="77777777" w:rsidR="00125312" w:rsidRPr="001A4ED5" w:rsidRDefault="00FD56C3">
      <w:pPr>
        <w:pStyle w:val="ListParagraph"/>
        <w:numPr>
          <w:ilvl w:val="2"/>
          <w:numId w:val="2"/>
        </w:numPr>
        <w:tabs>
          <w:tab w:val="left" w:pos="2280"/>
          <w:tab w:val="left" w:pos="2281"/>
        </w:tabs>
        <w:spacing w:before="183" w:line="256" w:lineRule="auto"/>
        <w:ind w:right="325"/>
        <w:rPr>
          <w:sz w:val="21"/>
          <w:szCs w:val="21"/>
          <w:lang w:val="es-ES_tradnl"/>
        </w:rPr>
      </w:pPr>
      <w:r w:rsidRPr="001A4ED5">
        <w:rPr>
          <w:sz w:val="21"/>
          <w:szCs w:val="21"/>
          <w:lang w:val="es-ES_tradnl"/>
        </w:rPr>
        <w:t>El cliente no tiene un saldo pendiente adeudado en su cuenta cuando se emite la primera factura.</w:t>
      </w:r>
    </w:p>
    <w:p w14:paraId="3784B90A" w14:textId="77777777" w:rsidR="00125312" w:rsidRPr="001A4ED5" w:rsidRDefault="00FD56C3">
      <w:pPr>
        <w:pStyle w:val="ListParagraph"/>
        <w:numPr>
          <w:ilvl w:val="2"/>
          <w:numId w:val="2"/>
        </w:numPr>
        <w:tabs>
          <w:tab w:val="left" w:pos="2280"/>
          <w:tab w:val="left" w:pos="2281"/>
        </w:tabs>
        <w:spacing w:before="164" w:line="259" w:lineRule="auto"/>
        <w:ind w:right="284"/>
        <w:rPr>
          <w:sz w:val="21"/>
          <w:szCs w:val="21"/>
          <w:lang w:val="es-ES_tradnl"/>
        </w:rPr>
      </w:pPr>
      <w:r w:rsidRPr="001A4ED5">
        <w:rPr>
          <w:sz w:val="21"/>
          <w:szCs w:val="21"/>
          <w:lang w:val="es-ES_tradnl"/>
        </w:rPr>
        <w:t>El cliente tiene un registro de uso de agua de al menos seis (6) meses durante el año pasado.</w:t>
      </w:r>
    </w:p>
    <w:p w14:paraId="79BB7B70" w14:textId="77777777" w:rsidR="00125312" w:rsidRPr="001A4ED5" w:rsidRDefault="00FD56C3">
      <w:pPr>
        <w:pStyle w:val="ListParagraph"/>
        <w:numPr>
          <w:ilvl w:val="1"/>
          <w:numId w:val="2"/>
        </w:numPr>
        <w:tabs>
          <w:tab w:val="left" w:pos="1561"/>
          <w:tab w:val="left" w:pos="1562"/>
        </w:tabs>
        <w:spacing w:line="252" w:lineRule="auto"/>
        <w:ind w:left="1561" w:right="1102"/>
        <w:rPr>
          <w:sz w:val="21"/>
          <w:szCs w:val="21"/>
          <w:lang w:val="es-ES_tradnl"/>
        </w:rPr>
      </w:pPr>
      <w:r w:rsidRPr="001A4ED5">
        <w:rPr>
          <w:sz w:val="21"/>
          <w:szCs w:val="21"/>
          <w:lang w:val="es-ES_tradnl"/>
        </w:rPr>
        <w:t>Inscríbase en el Plan de Pago Equilibrado llamando al 1-800-426-3693 para comunicarse con el departamento de Servicio al Cliente de EMWD.</w:t>
      </w:r>
    </w:p>
    <w:p w14:paraId="287B6A7B" w14:textId="77777777" w:rsidR="00125312" w:rsidRPr="001A4ED5" w:rsidRDefault="00FD56C3">
      <w:pPr>
        <w:pStyle w:val="BodyText"/>
        <w:spacing w:before="8"/>
        <w:ind w:left="1560"/>
        <w:rPr>
          <w:sz w:val="21"/>
          <w:szCs w:val="21"/>
          <w:lang w:val="es-ES_tradnl"/>
        </w:rPr>
      </w:pPr>
      <w:r w:rsidRPr="001A4ED5">
        <w:rPr>
          <w:sz w:val="21"/>
          <w:szCs w:val="21"/>
          <w:lang w:val="es-ES_tradnl"/>
        </w:rPr>
        <w:t>Nota: Necesitará su factura de agua más reciente o número de cuenta para inscribirse.</w:t>
      </w:r>
    </w:p>
    <w:p w14:paraId="21B0AEA7" w14:textId="77777777" w:rsidR="00125312" w:rsidRPr="001A4ED5" w:rsidRDefault="00FD56C3">
      <w:pPr>
        <w:pStyle w:val="ListParagraph"/>
        <w:numPr>
          <w:ilvl w:val="0"/>
          <w:numId w:val="2"/>
        </w:numPr>
        <w:tabs>
          <w:tab w:val="left" w:pos="841"/>
          <w:tab w:val="left" w:pos="842"/>
        </w:tabs>
        <w:spacing w:before="183"/>
        <w:ind w:left="841"/>
        <w:rPr>
          <w:sz w:val="21"/>
          <w:szCs w:val="21"/>
          <w:lang w:val="es-ES_tradnl"/>
        </w:rPr>
      </w:pPr>
      <w:r w:rsidRPr="001A4ED5">
        <w:rPr>
          <w:sz w:val="21"/>
          <w:szCs w:val="21"/>
          <w:lang w:val="es-ES_tradnl"/>
        </w:rPr>
        <w:t>Extensiones de Pago – ¿Necesita más tiempo para pagar?</w:t>
      </w:r>
    </w:p>
    <w:p w14:paraId="1228F877" w14:textId="77777777" w:rsidR="00125312" w:rsidRPr="001A4ED5" w:rsidRDefault="00FD56C3">
      <w:pPr>
        <w:pStyle w:val="ListParagraph"/>
        <w:numPr>
          <w:ilvl w:val="1"/>
          <w:numId w:val="2"/>
        </w:numPr>
        <w:tabs>
          <w:tab w:val="left" w:pos="1561"/>
          <w:tab w:val="left" w:pos="1562"/>
        </w:tabs>
        <w:spacing w:before="180" w:line="252" w:lineRule="auto"/>
        <w:ind w:left="1561" w:right="413"/>
        <w:rPr>
          <w:sz w:val="21"/>
          <w:szCs w:val="21"/>
          <w:lang w:val="es-ES_tradnl"/>
        </w:rPr>
      </w:pPr>
      <w:r w:rsidRPr="001A4ED5">
        <w:rPr>
          <w:sz w:val="21"/>
          <w:szCs w:val="21"/>
          <w:lang w:val="es-ES_tradnl"/>
        </w:rPr>
        <w:t>Descubra cómo puede extender la fecha de vencimiento de su pago para evitar que se corte el suministro de agua.</w:t>
      </w:r>
    </w:p>
    <w:p w14:paraId="48D09EC2" w14:textId="77777777" w:rsidR="00125312" w:rsidRPr="001A4ED5" w:rsidRDefault="00FD56C3">
      <w:pPr>
        <w:pStyle w:val="ListParagraph"/>
        <w:numPr>
          <w:ilvl w:val="1"/>
          <w:numId w:val="2"/>
        </w:numPr>
        <w:tabs>
          <w:tab w:val="left" w:pos="1561"/>
          <w:tab w:val="left" w:pos="1562"/>
        </w:tabs>
        <w:spacing w:before="168" w:line="256" w:lineRule="auto"/>
        <w:ind w:left="1561" w:right="381"/>
        <w:rPr>
          <w:sz w:val="21"/>
          <w:szCs w:val="21"/>
          <w:lang w:val="es-ES_tradnl"/>
        </w:rPr>
      </w:pPr>
      <w:r w:rsidRPr="001A4ED5">
        <w:rPr>
          <w:sz w:val="21"/>
          <w:szCs w:val="21"/>
          <w:lang w:val="es-ES_tradnl"/>
        </w:rPr>
        <w:t>Si necesita más tiempo para pagar su factura de agua, avise a EMWD lo antes posible. Si no paga su factura de agua a tiempo, se puede cortar el suministro de agua, lo que puede generar cargos y depósitos por reconexión.</w:t>
      </w:r>
    </w:p>
    <w:p w14:paraId="066754CB" w14:textId="77777777" w:rsidR="00125312" w:rsidRPr="001A4ED5" w:rsidRDefault="00FD56C3">
      <w:pPr>
        <w:pStyle w:val="ListParagraph"/>
        <w:numPr>
          <w:ilvl w:val="1"/>
          <w:numId w:val="2"/>
        </w:numPr>
        <w:tabs>
          <w:tab w:val="left" w:pos="1561"/>
          <w:tab w:val="left" w:pos="1562"/>
        </w:tabs>
        <w:spacing w:before="161" w:line="256" w:lineRule="auto"/>
        <w:ind w:left="1561" w:right="151"/>
        <w:rPr>
          <w:sz w:val="21"/>
          <w:szCs w:val="21"/>
          <w:lang w:val="es-ES_tradnl"/>
        </w:rPr>
      </w:pPr>
      <w:r w:rsidRPr="001A4ED5">
        <w:rPr>
          <w:sz w:val="21"/>
          <w:szCs w:val="21"/>
          <w:lang w:val="es-ES_tradnl"/>
        </w:rPr>
        <w:t>Programe un acuerdo de pago utilizando el sistema de administración de cuentas en línea de EMWD en</w:t>
      </w:r>
      <w:hyperlink r:id="rId9">
        <w:r w:rsidRPr="001A4ED5">
          <w:rPr>
            <w:sz w:val="21"/>
            <w:szCs w:val="21"/>
            <w:lang w:val="es-ES_tradnl"/>
          </w:rPr>
          <w:t xml:space="preserve"> www.emwd.org/MyAccount. </w:t>
        </w:r>
      </w:hyperlink>
      <w:r w:rsidRPr="001A4ED5">
        <w:rPr>
          <w:sz w:val="21"/>
          <w:szCs w:val="21"/>
          <w:lang w:val="es-ES_tradnl"/>
        </w:rPr>
        <w:t xml:space="preserve"> Inicie sesión o regístrese, luego vaya a View and </w:t>
      </w:r>
      <w:proofErr w:type="spellStart"/>
      <w:r w:rsidRPr="001A4ED5">
        <w:rPr>
          <w:sz w:val="21"/>
          <w:szCs w:val="21"/>
          <w:lang w:val="es-ES_tradnl"/>
        </w:rPr>
        <w:t>Pay</w:t>
      </w:r>
      <w:proofErr w:type="spellEnd"/>
      <w:r w:rsidRPr="001A4ED5">
        <w:rPr>
          <w:sz w:val="21"/>
          <w:szCs w:val="21"/>
          <w:lang w:val="es-ES_tradnl"/>
        </w:rPr>
        <w:t xml:space="preserve"> </w:t>
      </w:r>
      <w:proofErr w:type="spellStart"/>
      <w:r w:rsidRPr="001A4ED5">
        <w:rPr>
          <w:sz w:val="21"/>
          <w:szCs w:val="21"/>
          <w:lang w:val="es-ES_tradnl"/>
        </w:rPr>
        <w:t>My</w:t>
      </w:r>
      <w:proofErr w:type="spellEnd"/>
      <w:r w:rsidRPr="001A4ED5">
        <w:rPr>
          <w:sz w:val="21"/>
          <w:szCs w:val="21"/>
          <w:lang w:val="es-ES_tradnl"/>
        </w:rPr>
        <w:t xml:space="preserve"> Bill (Ver y pagar mi factura) y elija </w:t>
      </w:r>
      <w:proofErr w:type="spellStart"/>
      <w:r w:rsidRPr="001A4ED5">
        <w:rPr>
          <w:sz w:val="21"/>
          <w:szCs w:val="21"/>
          <w:lang w:val="es-ES_tradnl"/>
        </w:rPr>
        <w:t>Payment</w:t>
      </w:r>
      <w:proofErr w:type="spellEnd"/>
      <w:r w:rsidRPr="001A4ED5">
        <w:rPr>
          <w:sz w:val="21"/>
          <w:szCs w:val="21"/>
          <w:lang w:val="es-ES_tradnl"/>
        </w:rPr>
        <w:t xml:space="preserve"> </w:t>
      </w:r>
      <w:proofErr w:type="spellStart"/>
      <w:r w:rsidRPr="001A4ED5">
        <w:rPr>
          <w:sz w:val="21"/>
          <w:szCs w:val="21"/>
          <w:lang w:val="es-ES_tradnl"/>
        </w:rPr>
        <w:t>Extension</w:t>
      </w:r>
      <w:proofErr w:type="spellEnd"/>
      <w:r w:rsidRPr="001A4ED5">
        <w:rPr>
          <w:sz w:val="21"/>
          <w:szCs w:val="21"/>
          <w:lang w:val="es-ES_tradnl"/>
        </w:rPr>
        <w:t xml:space="preserve"> (Extensión de pago).</w:t>
      </w:r>
    </w:p>
    <w:p w14:paraId="452C9AD4" w14:textId="1AB2D76A" w:rsidR="00125312" w:rsidRPr="001A4ED5" w:rsidRDefault="00FD56C3">
      <w:pPr>
        <w:pStyle w:val="BodyText"/>
        <w:spacing w:before="2" w:line="256" w:lineRule="auto"/>
        <w:ind w:left="1561" w:right="739"/>
        <w:rPr>
          <w:sz w:val="21"/>
          <w:szCs w:val="21"/>
          <w:lang w:val="es-ES_tradnl"/>
        </w:rPr>
      </w:pPr>
      <w:r w:rsidRPr="001A4ED5">
        <w:rPr>
          <w:sz w:val="21"/>
          <w:szCs w:val="21"/>
          <w:lang w:val="es-ES_tradnl"/>
        </w:rPr>
        <w:t>Nota: Necesitará su factura de agua más reciente para registrarse. Solo tendrán la opción de solicitar una extensión de pago</w:t>
      </w:r>
      <w:r w:rsidR="00A56C7D">
        <w:rPr>
          <w:sz w:val="21"/>
          <w:szCs w:val="21"/>
          <w:lang w:val="es-ES_tradnl"/>
        </w:rPr>
        <w:t xml:space="preserve"> en</w:t>
      </w:r>
      <w:r w:rsidRPr="001A4ED5">
        <w:rPr>
          <w:sz w:val="21"/>
          <w:szCs w:val="21"/>
          <w:lang w:val="es-ES_tradnl"/>
        </w:rPr>
        <w:t xml:space="preserve"> las cuentas que estén al día.</w:t>
      </w:r>
    </w:p>
    <w:p w14:paraId="5B3CA1DD" w14:textId="77777777" w:rsidR="00125312" w:rsidRPr="001A4ED5" w:rsidRDefault="00FD56C3">
      <w:pPr>
        <w:pStyle w:val="Heading1"/>
        <w:spacing w:before="164"/>
        <w:ind w:left="121"/>
        <w:rPr>
          <w:sz w:val="21"/>
          <w:szCs w:val="21"/>
          <w:lang w:val="es-ES_tradnl"/>
        </w:rPr>
      </w:pPr>
      <w:r w:rsidRPr="001A4ED5">
        <w:rPr>
          <w:sz w:val="21"/>
          <w:szCs w:val="21"/>
          <w:lang w:val="es-ES_tradnl"/>
        </w:rPr>
        <w:t>Cómo Apelar una Factura</w:t>
      </w:r>
    </w:p>
    <w:p w14:paraId="401A75E0" w14:textId="77777777" w:rsidR="00125312" w:rsidRPr="001A4ED5" w:rsidRDefault="00FD56C3">
      <w:pPr>
        <w:pStyle w:val="BodyText"/>
        <w:spacing w:before="181"/>
        <w:ind w:left="121"/>
        <w:rPr>
          <w:sz w:val="21"/>
          <w:szCs w:val="21"/>
          <w:lang w:val="es-ES_tradnl"/>
        </w:rPr>
      </w:pPr>
      <w:r w:rsidRPr="001A4ED5">
        <w:rPr>
          <w:sz w:val="21"/>
          <w:szCs w:val="21"/>
          <w:lang w:val="es-ES_tradnl"/>
        </w:rPr>
        <w:t>Si un cliente cuestiona su factura, debe:</w:t>
      </w:r>
    </w:p>
    <w:p w14:paraId="5228DD01" w14:textId="7500EAD6" w:rsidR="00125312" w:rsidRPr="001A4ED5" w:rsidRDefault="00FD56C3">
      <w:pPr>
        <w:pStyle w:val="ListParagraph"/>
        <w:numPr>
          <w:ilvl w:val="0"/>
          <w:numId w:val="1"/>
        </w:numPr>
        <w:tabs>
          <w:tab w:val="left" w:pos="340"/>
        </w:tabs>
        <w:spacing w:before="182" w:line="256" w:lineRule="auto"/>
        <w:ind w:right="193" w:firstLine="0"/>
        <w:rPr>
          <w:sz w:val="21"/>
          <w:szCs w:val="21"/>
          <w:lang w:val="es-ES_tradnl"/>
        </w:rPr>
      </w:pPr>
      <w:r w:rsidRPr="001A4ED5">
        <w:rPr>
          <w:sz w:val="21"/>
          <w:szCs w:val="21"/>
          <w:lang w:val="es-ES_tradnl"/>
        </w:rPr>
        <w:t>Solicitar una explicación y/o una nueva</w:t>
      </w:r>
      <w:r w:rsidR="00B423E7">
        <w:rPr>
          <w:sz w:val="21"/>
          <w:szCs w:val="21"/>
          <w:lang w:val="es-ES_tradnl"/>
        </w:rPr>
        <w:t xml:space="preserve"> inspección </w:t>
      </w:r>
      <w:r w:rsidRPr="001A4ED5">
        <w:rPr>
          <w:sz w:val="21"/>
          <w:szCs w:val="21"/>
          <w:lang w:val="es-ES_tradnl"/>
        </w:rPr>
        <w:t xml:space="preserve"> </w:t>
      </w:r>
      <w:r w:rsidR="00B423E7">
        <w:rPr>
          <w:sz w:val="21"/>
          <w:szCs w:val="21"/>
          <w:lang w:val="es-ES_tradnl"/>
        </w:rPr>
        <w:t xml:space="preserve"> </w:t>
      </w:r>
      <w:r w:rsidRPr="001A4ED5">
        <w:rPr>
          <w:sz w:val="21"/>
          <w:szCs w:val="21"/>
          <w:lang w:val="es-ES_tradnl"/>
        </w:rPr>
        <w:t xml:space="preserve"> de su medidor llamando al 800-426-3693 DENTRO DE LOS 10 DÍAS POSTERIORES A LA FECHA DE FACTURACIÓN; o</w:t>
      </w:r>
    </w:p>
    <w:p w14:paraId="04B345E9" w14:textId="77777777" w:rsidR="00125312" w:rsidRPr="001A4ED5" w:rsidRDefault="00FD56C3">
      <w:pPr>
        <w:pStyle w:val="ListParagraph"/>
        <w:numPr>
          <w:ilvl w:val="0"/>
          <w:numId w:val="1"/>
        </w:numPr>
        <w:tabs>
          <w:tab w:val="left" w:pos="340"/>
        </w:tabs>
        <w:spacing w:before="164"/>
        <w:ind w:left="339"/>
        <w:rPr>
          <w:lang w:val="es-ES_tradnl"/>
        </w:rPr>
      </w:pPr>
      <w:r w:rsidRPr="001A4ED5">
        <w:rPr>
          <w:sz w:val="21"/>
          <w:szCs w:val="21"/>
          <w:lang w:val="es-ES_tradnl"/>
        </w:rPr>
        <w:t>Completar el formulario de apelación en línea de EMWD en</w:t>
      </w:r>
      <w:r w:rsidRPr="001A4ED5">
        <w:rPr>
          <w:color w:val="0562C1"/>
          <w:sz w:val="21"/>
          <w:szCs w:val="21"/>
          <w:lang w:val="es-ES_tradnl"/>
        </w:rPr>
        <w:t xml:space="preserve"> </w:t>
      </w:r>
      <w:hyperlink r:id="rId10">
        <w:r w:rsidRPr="001A4ED5">
          <w:rPr>
            <w:color w:val="0562C1"/>
            <w:sz w:val="21"/>
            <w:szCs w:val="21"/>
            <w:u w:val="single" w:color="0562C1"/>
            <w:lang w:val="es-ES_tradnl"/>
          </w:rPr>
          <w:t>www.emwd.org/webform/appeal-your-bill</w:t>
        </w:r>
      </w:hyperlink>
      <w:r w:rsidRPr="001A4ED5">
        <w:rPr>
          <w:sz w:val="21"/>
          <w:szCs w:val="21"/>
          <w:lang w:val="es-ES_tradnl"/>
        </w:rPr>
        <w:t xml:space="preserve"> </w:t>
      </w:r>
    </w:p>
    <w:p w14:paraId="6C8DA740" w14:textId="77777777" w:rsidR="00125312" w:rsidRPr="001A4ED5" w:rsidRDefault="00125312">
      <w:pPr>
        <w:rPr>
          <w:lang w:val="es-ES_tradnl"/>
        </w:rPr>
        <w:sectPr w:rsidR="00125312" w:rsidRPr="001A4ED5">
          <w:headerReference w:type="default" r:id="rId11"/>
          <w:footerReference w:type="default" r:id="rId12"/>
          <w:pgSz w:w="12240" w:h="15840"/>
          <w:pgMar w:top="620" w:right="1320" w:bottom="980" w:left="1320" w:header="401" w:footer="793" w:gutter="0"/>
          <w:pgNumType w:start="2"/>
          <w:cols w:space="720"/>
        </w:sectPr>
      </w:pPr>
    </w:p>
    <w:p w14:paraId="11563784" w14:textId="77777777" w:rsidR="00125312" w:rsidRPr="001A4ED5" w:rsidRDefault="00125312">
      <w:pPr>
        <w:pStyle w:val="BodyText"/>
        <w:spacing w:before="5"/>
        <w:ind w:left="0"/>
        <w:rPr>
          <w:sz w:val="25"/>
          <w:lang w:val="es-ES_tradnl"/>
        </w:rPr>
      </w:pPr>
    </w:p>
    <w:p w14:paraId="529352EC" w14:textId="77777777" w:rsidR="001A4ED5" w:rsidRPr="001A4ED5" w:rsidRDefault="00FD56C3" w:rsidP="001A4ED5">
      <w:pPr>
        <w:pStyle w:val="Heading1"/>
        <w:spacing w:line="400" w:lineRule="auto"/>
        <w:ind w:right="60"/>
        <w:rPr>
          <w:sz w:val="21"/>
          <w:szCs w:val="21"/>
          <w:lang w:val="es-ES_tradnl"/>
        </w:rPr>
      </w:pPr>
      <w:r w:rsidRPr="001A4ED5">
        <w:rPr>
          <w:sz w:val="21"/>
          <w:szCs w:val="21"/>
          <w:lang w:val="es-ES_tradnl"/>
        </w:rPr>
        <w:t>Cronograma de Morosidad de EMWD</w:t>
      </w:r>
    </w:p>
    <w:p w14:paraId="339C80C5" w14:textId="11DFD24B" w:rsidR="00125312" w:rsidRPr="001A4ED5" w:rsidRDefault="00FD56C3" w:rsidP="001A4ED5">
      <w:pPr>
        <w:pStyle w:val="Heading1"/>
        <w:spacing w:line="400" w:lineRule="auto"/>
        <w:ind w:right="60"/>
        <w:rPr>
          <w:sz w:val="21"/>
          <w:szCs w:val="21"/>
          <w:lang w:val="es-ES_tradnl"/>
        </w:rPr>
      </w:pPr>
      <w:r w:rsidRPr="001A4ED5">
        <w:rPr>
          <w:sz w:val="21"/>
          <w:szCs w:val="21"/>
          <w:lang w:val="es-ES_tradnl"/>
        </w:rPr>
        <w:t>Proceso de Morosidad</w:t>
      </w:r>
    </w:p>
    <w:p w14:paraId="1604D9CA" w14:textId="77777777" w:rsidR="00125312" w:rsidRPr="001A4ED5" w:rsidRDefault="00FD56C3">
      <w:pPr>
        <w:pStyle w:val="BodyText"/>
        <w:spacing w:before="1"/>
        <w:ind w:left="120"/>
        <w:rPr>
          <w:sz w:val="21"/>
          <w:szCs w:val="21"/>
          <w:lang w:val="es-ES_tradnl"/>
        </w:rPr>
      </w:pPr>
      <w:r w:rsidRPr="001A4ED5">
        <w:rPr>
          <w:sz w:val="21"/>
          <w:szCs w:val="21"/>
          <w:lang w:val="es-ES_tradnl"/>
        </w:rPr>
        <w:t>El proceso descrito a continuación describe cómo EMWD maneja las cuentas morosas.</w:t>
      </w:r>
    </w:p>
    <w:p w14:paraId="5323D427" w14:textId="77777777" w:rsidR="00125312" w:rsidRPr="001A4ED5" w:rsidRDefault="00FD56C3">
      <w:pPr>
        <w:tabs>
          <w:tab w:val="left" w:pos="1019"/>
        </w:tabs>
        <w:spacing w:before="182"/>
        <w:ind w:left="120"/>
        <w:rPr>
          <w:sz w:val="21"/>
          <w:szCs w:val="21"/>
          <w:lang w:val="es-ES_tradnl"/>
        </w:rPr>
      </w:pPr>
      <w:r w:rsidRPr="001A4ED5">
        <w:rPr>
          <w:b/>
          <w:sz w:val="21"/>
          <w:szCs w:val="21"/>
          <w:lang w:val="es-ES_tradnl"/>
        </w:rPr>
        <w:t>Día 1</w:t>
      </w:r>
      <w:r w:rsidRPr="001A4ED5">
        <w:rPr>
          <w:b/>
          <w:sz w:val="21"/>
          <w:szCs w:val="21"/>
          <w:lang w:val="es-ES_tradnl"/>
        </w:rPr>
        <w:tab/>
      </w:r>
      <w:r w:rsidRPr="001A4ED5">
        <w:rPr>
          <w:sz w:val="21"/>
          <w:szCs w:val="21"/>
          <w:lang w:val="es-ES_tradnl"/>
        </w:rPr>
        <w:t xml:space="preserve">Se envía la factura mensual por correo </w:t>
      </w:r>
    </w:p>
    <w:p w14:paraId="208EB7BC" w14:textId="77777777" w:rsidR="00125312" w:rsidRPr="001A4ED5" w:rsidRDefault="00FD56C3">
      <w:pPr>
        <w:tabs>
          <w:tab w:val="left" w:pos="1019"/>
        </w:tabs>
        <w:spacing w:before="181"/>
        <w:ind w:left="120"/>
        <w:rPr>
          <w:sz w:val="21"/>
          <w:szCs w:val="21"/>
          <w:lang w:val="es-ES_tradnl"/>
        </w:rPr>
      </w:pPr>
      <w:r w:rsidRPr="001A4ED5">
        <w:rPr>
          <w:b/>
          <w:sz w:val="21"/>
          <w:szCs w:val="21"/>
          <w:lang w:val="es-ES_tradnl"/>
        </w:rPr>
        <w:t>Día 21</w:t>
      </w:r>
      <w:r w:rsidRPr="001A4ED5">
        <w:rPr>
          <w:b/>
          <w:sz w:val="21"/>
          <w:szCs w:val="21"/>
          <w:lang w:val="es-ES_tradnl"/>
        </w:rPr>
        <w:tab/>
      </w:r>
      <w:r w:rsidRPr="001A4ED5">
        <w:rPr>
          <w:sz w:val="21"/>
          <w:szCs w:val="21"/>
          <w:lang w:val="es-ES_tradnl"/>
        </w:rPr>
        <w:t xml:space="preserve">Vencimiento de la factura </w:t>
      </w:r>
    </w:p>
    <w:p w14:paraId="10125DA7" w14:textId="77777777" w:rsidR="001A4ED5" w:rsidRPr="001A4ED5" w:rsidRDefault="00FD56C3" w:rsidP="001A4ED5">
      <w:pPr>
        <w:pStyle w:val="BodyText"/>
        <w:tabs>
          <w:tab w:val="left" w:pos="1019"/>
        </w:tabs>
        <w:spacing w:before="180" w:line="259" w:lineRule="auto"/>
        <w:ind w:left="1019" w:right="745" w:hanging="900"/>
        <w:rPr>
          <w:bCs/>
          <w:sz w:val="21"/>
          <w:szCs w:val="21"/>
          <w:lang w:val="es-ES_tradnl"/>
        </w:rPr>
      </w:pPr>
      <w:r w:rsidRPr="001A4ED5">
        <w:rPr>
          <w:b/>
          <w:sz w:val="21"/>
          <w:szCs w:val="21"/>
          <w:lang w:val="es-ES_tradnl"/>
        </w:rPr>
        <w:t>Día 26</w:t>
      </w:r>
      <w:r w:rsidRPr="001A4ED5">
        <w:rPr>
          <w:b/>
          <w:sz w:val="21"/>
          <w:szCs w:val="21"/>
          <w:lang w:val="es-ES_tradnl"/>
        </w:rPr>
        <w:tab/>
      </w:r>
      <w:r w:rsidRPr="001A4ED5">
        <w:rPr>
          <w:bCs/>
          <w:sz w:val="21"/>
          <w:szCs w:val="21"/>
          <w:lang w:val="es-ES_tradnl"/>
        </w:rPr>
        <w:t>Se envía por correo el primer aviso de saldo adeudado vencido; se aplica un recargo por pago atrasado de $25</w:t>
      </w:r>
    </w:p>
    <w:p w14:paraId="1E2B596D" w14:textId="50BC3697" w:rsidR="00125312" w:rsidRPr="001A4ED5" w:rsidRDefault="00FD56C3" w:rsidP="001A4ED5">
      <w:pPr>
        <w:pStyle w:val="BodyText"/>
        <w:tabs>
          <w:tab w:val="left" w:pos="1019"/>
        </w:tabs>
        <w:spacing w:line="400" w:lineRule="auto"/>
        <w:ind w:left="120" w:right="60"/>
        <w:rPr>
          <w:sz w:val="21"/>
          <w:szCs w:val="21"/>
          <w:lang w:val="es-ES_tradnl"/>
        </w:rPr>
      </w:pPr>
      <w:r w:rsidRPr="001A4ED5">
        <w:rPr>
          <w:color w:val="808080"/>
          <w:sz w:val="21"/>
          <w:szCs w:val="21"/>
          <w:lang w:val="es-ES_tradnl"/>
        </w:rPr>
        <w:t>Día 30</w:t>
      </w:r>
      <w:r w:rsidR="001A4ED5">
        <w:rPr>
          <w:color w:val="808080"/>
          <w:sz w:val="21"/>
          <w:szCs w:val="21"/>
          <w:lang w:val="es-ES_tradnl"/>
        </w:rPr>
        <w:tab/>
      </w:r>
      <w:r w:rsidRPr="001A4ED5">
        <w:rPr>
          <w:color w:val="808080"/>
          <w:sz w:val="21"/>
          <w:szCs w:val="21"/>
          <w:lang w:val="es-ES_tradnl"/>
        </w:rPr>
        <w:t>Se envía el siguiente estado de cuenta mensual por correo</w:t>
      </w:r>
    </w:p>
    <w:p w14:paraId="001271EF" w14:textId="77777777" w:rsidR="00125312" w:rsidRPr="001A4ED5" w:rsidRDefault="00FD56C3">
      <w:pPr>
        <w:pStyle w:val="BodyText"/>
        <w:tabs>
          <w:tab w:val="left" w:pos="1019"/>
        </w:tabs>
        <w:spacing w:before="1"/>
        <w:rPr>
          <w:sz w:val="21"/>
          <w:szCs w:val="21"/>
          <w:lang w:val="es-ES_tradnl"/>
        </w:rPr>
      </w:pPr>
      <w:r w:rsidRPr="001A4ED5">
        <w:rPr>
          <w:b/>
          <w:sz w:val="21"/>
          <w:szCs w:val="21"/>
          <w:lang w:val="es-ES_tradnl"/>
        </w:rPr>
        <w:t>Día 35</w:t>
      </w:r>
      <w:r w:rsidRPr="001A4ED5">
        <w:rPr>
          <w:b/>
          <w:sz w:val="21"/>
          <w:szCs w:val="21"/>
          <w:lang w:val="es-ES_tradnl"/>
        </w:rPr>
        <w:tab/>
      </w:r>
      <w:r w:rsidRPr="001A4ED5">
        <w:rPr>
          <w:sz w:val="21"/>
          <w:szCs w:val="21"/>
          <w:lang w:val="es-ES_tradnl"/>
        </w:rPr>
        <w:t>Se envía por correo el segundo aviso de saldo adeudado vencido</w:t>
      </w:r>
    </w:p>
    <w:p w14:paraId="5EA98E4D" w14:textId="77777777" w:rsidR="00125312" w:rsidRPr="001A4ED5" w:rsidRDefault="00FD56C3">
      <w:pPr>
        <w:pStyle w:val="BodyText"/>
        <w:tabs>
          <w:tab w:val="left" w:pos="1019"/>
        </w:tabs>
        <w:spacing w:before="183"/>
        <w:rPr>
          <w:sz w:val="21"/>
          <w:szCs w:val="21"/>
          <w:lang w:val="es-ES_tradnl"/>
        </w:rPr>
      </w:pPr>
      <w:r w:rsidRPr="001A4ED5">
        <w:rPr>
          <w:b/>
          <w:sz w:val="21"/>
          <w:szCs w:val="21"/>
          <w:lang w:val="es-ES_tradnl"/>
        </w:rPr>
        <w:t>Día 45</w:t>
      </w:r>
      <w:r w:rsidRPr="001A4ED5">
        <w:rPr>
          <w:b/>
          <w:sz w:val="21"/>
          <w:szCs w:val="21"/>
          <w:lang w:val="es-ES_tradnl"/>
        </w:rPr>
        <w:tab/>
      </w:r>
      <w:r w:rsidRPr="001A4ED5">
        <w:rPr>
          <w:sz w:val="21"/>
          <w:szCs w:val="21"/>
          <w:lang w:val="es-ES_tradnl"/>
        </w:rPr>
        <w:t>Primera llamada automática - Recordatorio de pago atrasado</w:t>
      </w:r>
    </w:p>
    <w:p w14:paraId="29C50DD2" w14:textId="77777777" w:rsidR="00125312" w:rsidRPr="001A4ED5" w:rsidRDefault="00FD56C3">
      <w:pPr>
        <w:pStyle w:val="BodyText"/>
        <w:tabs>
          <w:tab w:val="left" w:pos="1019"/>
        </w:tabs>
        <w:spacing w:before="180"/>
        <w:rPr>
          <w:sz w:val="21"/>
          <w:szCs w:val="21"/>
          <w:lang w:val="es-ES_tradnl"/>
        </w:rPr>
      </w:pPr>
      <w:r w:rsidRPr="001A4ED5">
        <w:rPr>
          <w:b/>
          <w:sz w:val="21"/>
          <w:szCs w:val="21"/>
          <w:lang w:val="es-ES_tradnl"/>
        </w:rPr>
        <w:t>Día 55</w:t>
      </w:r>
      <w:r w:rsidRPr="001A4ED5">
        <w:rPr>
          <w:b/>
          <w:sz w:val="21"/>
          <w:szCs w:val="21"/>
          <w:lang w:val="es-ES_tradnl"/>
        </w:rPr>
        <w:tab/>
      </w:r>
      <w:r w:rsidRPr="001A4ED5">
        <w:rPr>
          <w:sz w:val="21"/>
          <w:szCs w:val="21"/>
          <w:lang w:val="es-ES_tradnl"/>
        </w:rPr>
        <w:t>Se envía por correo el tercer aviso de saldo adeudado vencido</w:t>
      </w:r>
    </w:p>
    <w:p w14:paraId="07AFFD58" w14:textId="77777777" w:rsidR="00125312" w:rsidRPr="001A4ED5" w:rsidRDefault="00FD56C3">
      <w:pPr>
        <w:pStyle w:val="BodyText"/>
        <w:tabs>
          <w:tab w:val="left" w:pos="1019"/>
        </w:tabs>
        <w:rPr>
          <w:sz w:val="21"/>
          <w:szCs w:val="21"/>
          <w:lang w:val="es-ES_tradnl"/>
        </w:rPr>
      </w:pPr>
      <w:r w:rsidRPr="001A4ED5">
        <w:rPr>
          <w:color w:val="808080"/>
          <w:sz w:val="21"/>
          <w:szCs w:val="21"/>
          <w:lang w:val="es-ES_tradnl"/>
        </w:rPr>
        <w:t>Día 60</w:t>
      </w:r>
      <w:r w:rsidRPr="001A4ED5">
        <w:rPr>
          <w:color w:val="808080"/>
          <w:sz w:val="21"/>
          <w:szCs w:val="21"/>
          <w:lang w:val="es-ES_tradnl"/>
        </w:rPr>
        <w:tab/>
        <w:t>Se envía el siguiente estado de cuenta mensual por correo</w:t>
      </w:r>
    </w:p>
    <w:p w14:paraId="0596DA76" w14:textId="3F3E12F9" w:rsidR="00125312" w:rsidRPr="001A4ED5" w:rsidRDefault="00FD56C3">
      <w:pPr>
        <w:pStyle w:val="BodyText"/>
        <w:spacing w:before="20"/>
        <w:ind w:left="1019"/>
        <w:rPr>
          <w:sz w:val="21"/>
          <w:szCs w:val="21"/>
          <w:lang w:val="es-ES_tradnl"/>
        </w:rPr>
      </w:pPr>
      <w:r w:rsidRPr="001A4ED5">
        <w:rPr>
          <w:color w:val="808080"/>
          <w:sz w:val="21"/>
          <w:szCs w:val="21"/>
          <w:lang w:val="es-ES_tradnl"/>
        </w:rPr>
        <w:t xml:space="preserve">Se puede poner un </w:t>
      </w:r>
      <w:proofErr w:type="gramStart"/>
      <w:r w:rsidR="00610CCF">
        <w:rPr>
          <w:color w:val="808080"/>
          <w:sz w:val="21"/>
          <w:szCs w:val="21"/>
          <w:lang w:val="es-ES_tradnl"/>
        </w:rPr>
        <w:t xml:space="preserve">carga </w:t>
      </w:r>
      <w:r w:rsidRPr="001A4ED5">
        <w:rPr>
          <w:color w:val="808080"/>
          <w:sz w:val="21"/>
          <w:szCs w:val="21"/>
          <w:lang w:val="es-ES_tradnl"/>
        </w:rPr>
        <w:t xml:space="preserve"> sobre</w:t>
      </w:r>
      <w:proofErr w:type="gramEnd"/>
      <w:r w:rsidRPr="001A4ED5">
        <w:rPr>
          <w:color w:val="808080"/>
          <w:sz w:val="21"/>
          <w:szCs w:val="21"/>
          <w:lang w:val="es-ES_tradnl"/>
        </w:rPr>
        <w:t xml:space="preserve"> la propiedad del propietario por el saldo pendiente</w:t>
      </w:r>
    </w:p>
    <w:p w14:paraId="07478AE8" w14:textId="77777777" w:rsidR="00125312" w:rsidRPr="001A4ED5" w:rsidRDefault="00FD56C3">
      <w:pPr>
        <w:pStyle w:val="BodyText"/>
        <w:tabs>
          <w:tab w:val="left" w:pos="1019"/>
        </w:tabs>
        <w:rPr>
          <w:sz w:val="21"/>
          <w:szCs w:val="21"/>
          <w:lang w:val="es-ES_tradnl"/>
        </w:rPr>
      </w:pPr>
      <w:r w:rsidRPr="001A4ED5">
        <w:rPr>
          <w:b/>
          <w:sz w:val="21"/>
          <w:szCs w:val="21"/>
          <w:lang w:val="es-ES_tradnl"/>
        </w:rPr>
        <w:t>Día 65</w:t>
      </w:r>
      <w:r w:rsidRPr="001A4ED5">
        <w:rPr>
          <w:b/>
          <w:sz w:val="21"/>
          <w:szCs w:val="21"/>
          <w:lang w:val="es-ES_tradnl"/>
        </w:rPr>
        <w:tab/>
      </w:r>
      <w:r w:rsidRPr="001A4ED5">
        <w:rPr>
          <w:sz w:val="21"/>
          <w:szCs w:val="21"/>
          <w:lang w:val="es-ES_tradnl"/>
        </w:rPr>
        <w:t>Segunda llamada automática – Recordatorio de pago atrasado</w:t>
      </w:r>
    </w:p>
    <w:p w14:paraId="5EA895EF" w14:textId="77777777" w:rsidR="00125312" w:rsidRPr="001A4ED5" w:rsidRDefault="00FD56C3" w:rsidP="001A4ED5">
      <w:pPr>
        <w:pStyle w:val="BodyText"/>
        <w:tabs>
          <w:tab w:val="left" w:pos="1019"/>
        </w:tabs>
        <w:spacing w:before="180" w:line="259" w:lineRule="auto"/>
        <w:ind w:left="1019" w:right="745" w:hanging="900"/>
        <w:rPr>
          <w:bCs/>
          <w:sz w:val="21"/>
          <w:szCs w:val="21"/>
          <w:lang w:val="es-ES_tradnl"/>
        </w:rPr>
      </w:pPr>
      <w:r w:rsidRPr="001A4ED5">
        <w:rPr>
          <w:bCs/>
          <w:sz w:val="21"/>
          <w:szCs w:val="21"/>
          <w:lang w:val="es-ES_tradnl"/>
        </w:rPr>
        <w:t>Día 65</w:t>
      </w:r>
      <w:r w:rsidRPr="001A4ED5">
        <w:rPr>
          <w:bCs/>
          <w:sz w:val="21"/>
          <w:szCs w:val="21"/>
          <w:lang w:val="es-ES_tradnl"/>
        </w:rPr>
        <w:tab/>
        <w:t>SOLO PARA INQUILINOS DE VIVIENDAS MULTIFAMILIARES: Se envía por correo el último aviso de saldo adeudado vencido</w:t>
      </w:r>
    </w:p>
    <w:p w14:paraId="048CDFBF" w14:textId="77777777" w:rsidR="00125312" w:rsidRPr="001A4ED5" w:rsidRDefault="00FD56C3">
      <w:pPr>
        <w:pStyle w:val="BodyText"/>
        <w:tabs>
          <w:tab w:val="left" w:pos="1019"/>
        </w:tabs>
        <w:rPr>
          <w:sz w:val="21"/>
          <w:szCs w:val="21"/>
          <w:lang w:val="es-ES_tradnl"/>
        </w:rPr>
      </w:pPr>
      <w:r w:rsidRPr="001A4ED5">
        <w:rPr>
          <w:b/>
          <w:sz w:val="21"/>
          <w:szCs w:val="21"/>
          <w:lang w:val="es-ES_tradnl"/>
        </w:rPr>
        <w:t>Día 72</w:t>
      </w:r>
      <w:r w:rsidRPr="001A4ED5">
        <w:rPr>
          <w:b/>
          <w:sz w:val="21"/>
          <w:szCs w:val="21"/>
          <w:lang w:val="es-ES_tradnl"/>
        </w:rPr>
        <w:tab/>
      </w:r>
      <w:r w:rsidRPr="001A4ED5">
        <w:rPr>
          <w:sz w:val="21"/>
          <w:szCs w:val="21"/>
          <w:lang w:val="es-ES_tradnl"/>
        </w:rPr>
        <w:t>Se envía por correo el último aviso de saldo adeudado vencido</w:t>
      </w:r>
    </w:p>
    <w:p w14:paraId="2B7067C6" w14:textId="77777777" w:rsidR="00125312" w:rsidRPr="001A4ED5" w:rsidRDefault="00FD56C3">
      <w:pPr>
        <w:pStyle w:val="BodyText"/>
        <w:tabs>
          <w:tab w:val="left" w:pos="1019"/>
        </w:tabs>
        <w:spacing w:before="181"/>
        <w:rPr>
          <w:sz w:val="21"/>
          <w:szCs w:val="21"/>
          <w:lang w:val="es-ES_tradnl"/>
        </w:rPr>
      </w:pPr>
      <w:r w:rsidRPr="001A4ED5">
        <w:rPr>
          <w:b/>
          <w:sz w:val="21"/>
          <w:szCs w:val="21"/>
          <w:lang w:val="es-ES_tradnl"/>
        </w:rPr>
        <w:t>Día 77</w:t>
      </w:r>
      <w:r w:rsidRPr="001A4ED5">
        <w:rPr>
          <w:b/>
          <w:sz w:val="21"/>
          <w:szCs w:val="21"/>
          <w:lang w:val="es-ES_tradnl"/>
        </w:rPr>
        <w:tab/>
      </w:r>
      <w:r w:rsidRPr="001A4ED5">
        <w:rPr>
          <w:sz w:val="21"/>
          <w:szCs w:val="21"/>
          <w:lang w:val="es-ES_tradnl"/>
        </w:rPr>
        <w:t>Se cuelga el aviso en la puerta de la propiedad</w:t>
      </w:r>
    </w:p>
    <w:p w14:paraId="1249D20D" w14:textId="77777777" w:rsidR="00125312" w:rsidRPr="001A4ED5" w:rsidRDefault="00FD56C3">
      <w:pPr>
        <w:pStyle w:val="BodyText"/>
        <w:tabs>
          <w:tab w:val="left" w:pos="1019"/>
        </w:tabs>
        <w:rPr>
          <w:sz w:val="21"/>
          <w:szCs w:val="21"/>
          <w:lang w:val="es-ES_tradnl"/>
        </w:rPr>
      </w:pPr>
      <w:r w:rsidRPr="001A4ED5">
        <w:rPr>
          <w:b/>
          <w:sz w:val="21"/>
          <w:szCs w:val="21"/>
          <w:lang w:val="es-ES_tradnl"/>
        </w:rPr>
        <w:t>Día 83</w:t>
      </w:r>
      <w:r w:rsidRPr="001A4ED5">
        <w:rPr>
          <w:b/>
          <w:sz w:val="21"/>
          <w:szCs w:val="21"/>
          <w:lang w:val="es-ES_tradnl"/>
        </w:rPr>
        <w:tab/>
      </w:r>
      <w:r w:rsidRPr="001A4ED5">
        <w:rPr>
          <w:sz w:val="21"/>
          <w:szCs w:val="21"/>
          <w:lang w:val="es-ES_tradnl"/>
        </w:rPr>
        <w:t>Se corta el servicio de agua por falta de pago</w:t>
      </w:r>
    </w:p>
    <w:p w14:paraId="350BFC43" w14:textId="77777777" w:rsidR="00125312" w:rsidRPr="001A4ED5" w:rsidRDefault="00FD56C3">
      <w:pPr>
        <w:pStyle w:val="BodyText"/>
        <w:tabs>
          <w:tab w:val="left" w:pos="1019"/>
        </w:tabs>
        <w:spacing w:before="180" w:line="259" w:lineRule="auto"/>
        <w:ind w:left="1019" w:right="745" w:hanging="900"/>
        <w:rPr>
          <w:sz w:val="21"/>
          <w:szCs w:val="21"/>
          <w:lang w:val="es-ES_tradnl"/>
        </w:rPr>
      </w:pPr>
      <w:r w:rsidRPr="001A4ED5">
        <w:rPr>
          <w:b/>
          <w:sz w:val="21"/>
          <w:szCs w:val="21"/>
          <w:lang w:val="es-ES_tradnl"/>
        </w:rPr>
        <w:t>Día 88</w:t>
      </w:r>
      <w:r w:rsidRPr="001A4ED5">
        <w:rPr>
          <w:b/>
          <w:sz w:val="21"/>
          <w:szCs w:val="21"/>
          <w:lang w:val="es-ES_tradnl"/>
        </w:rPr>
        <w:tab/>
      </w:r>
      <w:r w:rsidRPr="001A4ED5">
        <w:rPr>
          <w:sz w:val="21"/>
          <w:szCs w:val="21"/>
          <w:lang w:val="es-ES_tradnl"/>
        </w:rPr>
        <w:t>Se cierra la cuenta por falta de pago; se aplica un depósito al saldo (si corresponde); se informa a una agencia de cobranza del saldo pendiente</w:t>
      </w:r>
    </w:p>
    <w:sectPr w:rsidR="00125312" w:rsidRPr="001A4ED5">
      <w:pgSz w:w="12240" w:h="15840"/>
      <w:pgMar w:top="620" w:right="1320" w:bottom="980" w:left="1320" w:header="401" w:footer="7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9DC5E" w14:textId="77777777" w:rsidR="00054E8F" w:rsidRDefault="00054E8F">
      <w:r>
        <w:separator/>
      </w:r>
    </w:p>
  </w:endnote>
  <w:endnote w:type="continuationSeparator" w:id="0">
    <w:p w14:paraId="36CE1183" w14:textId="77777777" w:rsidR="00054E8F" w:rsidRDefault="0005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368B" w14:textId="77777777" w:rsidR="00125312" w:rsidRDefault="00054E8F">
    <w:pPr>
      <w:pStyle w:val="BodyText"/>
      <w:spacing w:before="0" w:line="14" w:lineRule="auto"/>
      <w:ind w:left="0"/>
      <w:rPr>
        <w:sz w:val="20"/>
      </w:rPr>
    </w:pPr>
    <w:r>
      <w:pict w14:anchorId="55994EF7">
        <v:line id="_x0000_s2053" style="position:absolute;z-index:-251778048;mso-position-horizontal-relative:page;mso-position-vertical-relative:page" from="70.55pt,738.6pt" to="541.45pt,738.6pt" strokecolor="#d9d9d9" strokeweight=".48pt">
          <w10:wrap anchorx="page" anchory="page"/>
        </v:line>
      </w:pict>
    </w:r>
    <w:r>
      <w:pict w14:anchorId="75773B36">
        <v:shapetype id="_x0000_t202" coordsize="21600,21600" o:spt="202" path="m,l,21600r21600,l21600,xe">
          <v:stroke joinstyle="miter"/>
          <v:path gradientshapeok="t" o:connecttype="rect"/>
        </v:shapetype>
        <v:shape id="_x0000_s2052" type="#_x0000_t202" style="position:absolute;margin-left:487.55pt;margin-top:740.85pt;width:53.5pt;height:13.05pt;z-index:-251777024;mso-position-horizontal-relative:page;mso-position-vertical-relative:page" filled="f" stroked="f">
          <v:textbox inset="0,0,0,0">
            <w:txbxContent>
              <w:p w14:paraId="0BBDD668" w14:textId="08C03018" w:rsidR="00125312" w:rsidRDefault="00FD56C3">
                <w:pPr>
                  <w:spacing w:line="245" w:lineRule="exact"/>
                  <w:ind w:left="60"/>
                </w:pPr>
                <w:r>
                  <w:fldChar w:fldCharType="begin"/>
                </w:r>
                <w:r>
                  <w:rPr>
                    <w:b/>
                  </w:rPr>
                  <w:instrText xml:space="preserve"> PAGE </w:instrText>
                </w:r>
                <w:r>
                  <w:fldChar w:fldCharType="separate"/>
                </w:r>
                <w:r>
                  <w:t>1</w:t>
                </w:r>
                <w:r>
                  <w:fldChar w:fldCharType="end"/>
                </w:r>
                <w:r>
                  <w:rPr>
                    <w:b/>
                  </w:rPr>
                  <w:t xml:space="preserve"> | </w:t>
                </w:r>
                <w:r>
                  <w:rPr>
                    <w:color w:val="7E7E7E"/>
                  </w:rPr>
                  <w:t>Página</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D50E" w14:textId="77777777" w:rsidR="00125312" w:rsidRDefault="00054E8F">
    <w:pPr>
      <w:pStyle w:val="BodyText"/>
      <w:spacing w:before="0" w:line="14" w:lineRule="auto"/>
      <w:ind w:left="0"/>
      <w:rPr>
        <w:sz w:val="20"/>
      </w:rPr>
    </w:pPr>
    <w:r>
      <w:pict w14:anchorId="557B055A">
        <v:line id="_x0000_s2050" style="position:absolute;z-index:-251774976;mso-position-horizontal-relative:page;mso-position-vertical-relative:page" from="70.55pt,738.6pt" to="541.45pt,738.6pt" strokecolor="#d9d9d9" strokeweight=".48pt">
          <w10:wrap anchorx="page" anchory="page"/>
        </v:line>
      </w:pict>
    </w:r>
    <w:r>
      <w:pict w14:anchorId="6B894235">
        <v:shapetype id="_x0000_t202" coordsize="21600,21600" o:spt="202" path="m,l,21600r21600,l21600,xe">
          <v:stroke joinstyle="miter"/>
          <v:path gradientshapeok="t" o:connecttype="rect"/>
        </v:shapetype>
        <v:shape id="_x0000_s2049" type="#_x0000_t202" style="position:absolute;margin-left:487.55pt;margin-top:740.85pt;width:53.5pt;height:13.05pt;z-index:-251773952;mso-position-horizontal-relative:page;mso-position-vertical-relative:page" filled="f" stroked="f">
          <v:textbox inset="0,0,0,0">
            <w:txbxContent>
              <w:p w14:paraId="0149D5F0" w14:textId="7BA3C800" w:rsidR="00125312" w:rsidRDefault="00FD56C3">
                <w:pPr>
                  <w:spacing w:line="245" w:lineRule="exact"/>
                  <w:ind w:left="60"/>
                </w:pPr>
                <w:r>
                  <w:fldChar w:fldCharType="begin"/>
                </w:r>
                <w:r>
                  <w:rPr>
                    <w:b/>
                  </w:rPr>
                  <w:instrText xml:space="preserve"> PAGE </w:instrText>
                </w:r>
                <w:r>
                  <w:fldChar w:fldCharType="separate"/>
                </w:r>
                <w:r>
                  <w:t>2</w:t>
                </w:r>
                <w:r>
                  <w:fldChar w:fldCharType="end"/>
                </w:r>
                <w:r>
                  <w:rPr>
                    <w:b/>
                  </w:rPr>
                  <w:t xml:space="preserve"> | </w:t>
                </w:r>
                <w:r>
                  <w:rPr>
                    <w:color w:val="7E7E7E"/>
                  </w:rPr>
                  <w:t>Página</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D3692" w14:textId="77777777" w:rsidR="00054E8F" w:rsidRDefault="00054E8F">
      <w:r>
        <w:separator/>
      </w:r>
    </w:p>
  </w:footnote>
  <w:footnote w:type="continuationSeparator" w:id="0">
    <w:p w14:paraId="7CBC2B40" w14:textId="77777777" w:rsidR="00054E8F" w:rsidRDefault="00054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A3BD" w14:textId="77777777" w:rsidR="00125312" w:rsidRDefault="00054E8F">
    <w:pPr>
      <w:pStyle w:val="BodyText"/>
      <w:spacing w:before="0" w:line="14" w:lineRule="auto"/>
      <w:ind w:left="0"/>
      <w:rPr>
        <w:sz w:val="20"/>
      </w:rPr>
    </w:pPr>
    <w:r>
      <w:pict w14:anchorId="7A276C84">
        <v:shapetype id="_x0000_t202" coordsize="21600,21600" o:spt="202" path="m,l,21600r21600,l21600,xe">
          <v:stroke joinstyle="miter"/>
          <v:path gradientshapeok="t" o:connecttype="rect"/>
        </v:shapetype>
        <v:shape id="_x0000_s2051" type="#_x0000_t202" style="position:absolute;margin-left:391.05pt;margin-top:19.05pt;width:150.05pt;height:13.05pt;z-index:-251776000;mso-position-horizontal-relative:page;mso-position-vertical-relative:page" filled="f" stroked="f">
          <v:textbox inset="0,0,0,0">
            <w:txbxContent>
              <w:p w14:paraId="2ECE5134" w14:textId="77777777" w:rsidR="00125312" w:rsidRDefault="00FD56C3">
                <w:pPr>
                  <w:pStyle w:val="BodyText"/>
                  <w:spacing w:before="0" w:line="245" w:lineRule="exact"/>
                  <w:ind w:left="20"/>
                </w:pPr>
                <w:r>
                  <w:rPr>
                    <w:color w:val="006FC0"/>
                  </w:rPr>
                  <w:t>Política de Morosidad de EMWD</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A574A"/>
    <w:multiLevelType w:val="hybridMultilevel"/>
    <w:tmpl w:val="09020112"/>
    <w:lvl w:ilvl="0" w:tplc="67743B96">
      <w:start w:val="2"/>
      <w:numFmt w:val="lowerLetter"/>
      <w:lvlText w:val="(%1)"/>
      <w:lvlJc w:val="left"/>
      <w:pPr>
        <w:ind w:left="839" w:hanging="360"/>
      </w:pPr>
      <w:rPr>
        <w:rFonts w:ascii="Calibri" w:eastAsia="Calibri" w:hAnsi="Calibri" w:cs="Calibri" w:hint="default"/>
        <w:spacing w:val="-1"/>
        <w:w w:val="100"/>
        <w:sz w:val="22"/>
        <w:szCs w:val="22"/>
        <w:lang w:val="en-US" w:eastAsia="en-US" w:bidi="en-US"/>
      </w:rPr>
    </w:lvl>
    <w:lvl w:ilvl="1" w:tplc="74F2DFF2">
      <w:start w:val="1"/>
      <w:numFmt w:val="decimal"/>
      <w:lvlText w:val="(%2)"/>
      <w:lvlJc w:val="left"/>
      <w:pPr>
        <w:ind w:left="1199" w:hanging="361"/>
      </w:pPr>
      <w:rPr>
        <w:rFonts w:ascii="Calibri" w:eastAsia="Calibri" w:hAnsi="Calibri" w:cs="Calibri" w:hint="default"/>
        <w:w w:val="100"/>
        <w:sz w:val="22"/>
        <w:szCs w:val="22"/>
        <w:lang w:val="en-US" w:eastAsia="en-US" w:bidi="en-US"/>
      </w:rPr>
    </w:lvl>
    <w:lvl w:ilvl="2" w:tplc="F5541DBE">
      <w:start w:val="1"/>
      <w:numFmt w:val="decimal"/>
      <w:lvlText w:val="%3."/>
      <w:lvlJc w:val="left"/>
      <w:pPr>
        <w:ind w:left="1560" w:hanging="360"/>
      </w:pPr>
      <w:rPr>
        <w:rFonts w:ascii="Calibri" w:eastAsia="Calibri" w:hAnsi="Calibri" w:cs="Calibri" w:hint="default"/>
        <w:spacing w:val="-4"/>
        <w:w w:val="100"/>
        <w:sz w:val="24"/>
        <w:szCs w:val="24"/>
        <w:lang w:val="en-US" w:eastAsia="en-US" w:bidi="en-US"/>
      </w:rPr>
    </w:lvl>
    <w:lvl w:ilvl="3" w:tplc="8D20A596">
      <w:start w:val="1"/>
      <w:numFmt w:val="decimal"/>
      <w:lvlText w:val="%4."/>
      <w:lvlJc w:val="left"/>
      <w:pPr>
        <w:ind w:left="1920" w:hanging="361"/>
      </w:pPr>
      <w:rPr>
        <w:rFonts w:ascii="Calibri" w:eastAsia="Calibri" w:hAnsi="Calibri" w:cs="Calibri" w:hint="default"/>
        <w:w w:val="100"/>
        <w:sz w:val="22"/>
        <w:szCs w:val="22"/>
        <w:lang w:val="en-US" w:eastAsia="en-US" w:bidi="en-US"/>
      </w:rPr>
    </w:lvl>
    <w:lvl w:ilvl="4" w:tplc="0B74CC5E">
      <w:numFmt w:val="bullet"/>
      <w:lvlText w:val="•"/>
      <w:lvlJc w:val="left"/>
      <w:pPr>
        <w:ind w:left="3017" w:hanging="361"/>
      </w:pPr>
      <w:rPr>
        <w:rFonts w:hint="default"/>
        <w:lang w:val="en-US" w:eastAsia="en-US" w:bidi="en-US"/>
      </w:rPr>
    </w:lvl>
    <w:lvl w:ilvl="5" w:tplc="AFAE580A">
      <w:numFmt w:val="bullet"/>
      <w:lvlText w:val="•"/>
      <w:lvlJc w:val="left"/>
      <w:pPr>
        <w:ind w:left="4114" w:hanging="361"/>
      </w:pPr>
      <w:rPr>
        <w:rFonts w:hint="default"/>
        <w:lang w:val="en-US" w:eastAsia="en-US" w:bidi="en-US"/>
      </w:rPr>
    </w:lvl>
    <w:lvl w:ilvl="6" w:tplc="D842EDA0">
      <w:numFmt w:val="bullet"/>
      <w:lvlText w:val="•"/>
      <w:lvlJc w:val="left"/>
      <w:pPr>
        <w:ind w:left="5211" w:hanging="361"/>
      </w:pPr>
      <w:rPr>
        <w:rFonts w:hint="default"/>
        <w:lang w:val="en-US" w:eastAsia="en-US" w:bidi="en-US"/>
      </w:rPr>
    </w:lvl>
    <w:lvl w:ilvl="7" w:tplc="A61E5DEA">
      <w:numFmt w:val="bullet"/>
      <w:lvlText w:val="•"/>
      <w:lvlJc w:val="left"/>
      <w:pPr>
        <w:ind w:left="6308" w:hanging="361"/>
      </w:pPr>
      <w:rPr>
        <w:rFonts w:hint="default"/>
        <w:lang w:val="en-US" w:eastAsia="en-US" w:bidi="en-US"/>
      </w:rPr>
    </w:lvl>
    <w:lvl w:ilvl="8" w:tplc="3536D182">
      <w:numFmt w:val="bullet"/>
      <w:lvlText w:val="•"/>
      <w:lvlJc w:val="left"/>
      <w:pPr>
        <w:ind w:left="7405" w:hanging="361"/>
      </w:pPr>
      <w:rPr>
        <w:rFonts w:hint="default"/>
        <w:lang w:val="en-US" w:eastAsia="en-US" w:bidi="en-US"/>
      </w:rPr>
    </w:lvl>
  </w:abstractNum>
  <w:abstractNum w:abstractNumId="1" w15:restartNumberingAfterBreak="0">
    <w:nsid w:val="549D59CF"/>
    <w:multiLevelType w:val="hybridMultilevel"/>
    <w:tmpl w:val="2BCA4016"/>
    <w:lvl w:ilvl="0" w:tplc="E86056D2">
      <w:numFmt w:val="bullet"/>
      <w:lvlText w:val=""/>
      <w:lvlJc w:val="left"/>
      <w:pPr>
        <w:ind w:left="840" w:hanging="361"/>
      </w:pPr>
      <w:rPr>
        <w:rFonts w:ascii="Symbol" w:eastAsia="Symbol" w:hAnsi="Symbol" w:cs="Symbol" w:hint="default"/>
        <w:w w:val="100"/>
        <w:sz w:val="22"/>
        <w:szCs w:val="22"/>
        <w:lang w:val="en-US" w:eastAsia="en-US" w:bidi="en-US"/>
      </w:rPr>
    </w:lvl>
    <w:lvl w:ilvl="1" w:tplc="4934A1C0">
      <w:numFmt w:val="bullet"/>
      <w:lvlText w:val="o"/>
      <w:lvlJc w:val="left"/>
      <w:pPr>
        <w:ind w:left="1560" w:hanging="361"/>
      </w:pPr>
      <w:rPr>
        <w:rFonts w:ascii="Courier New" w:eastAsia="Courier New" w:hAnsi="Courier New" w:cs="Courier New" w:hint="default"/>
        <w:w w:val="100"/>
        <w:sz w:val="22"/>
        <w:szCs w:val="22"/>
        <w:lang w:val="en-US" w:eastAsia="en-US" w:bidi="en-US"/>
      </w:rPr>
    </w:lvl>
    <w:lvl w:ilvl="2" w:tplc="E5522A96">
      <w:numFmt w:val="bullet"/>
      <w:lvlText w:val=""/>
      <w:lvlJc w:val="left"/>
      <w:pPr>
        <w:ind w:left="2280" w:hanging="361"/>
      </w:pPr>
      <w:rPr>
        <w:rFonts w:ascii="Wingdings" w:eastAsia="Wingdings" w:hAnsi="Wingdings" w:cs="Wingdings" w:hint="default"/>
        <w:w w:val="100"/>
        <w:sz w:val="22"/>
        <w:szCs w:val="22"/>
        <w:lang w:val="en-US" w:eastAsia="en-US" w:bidi="en-US"/>
      </w:rPr>
    </w:lvl>
    <w:lvl w:ilvl="3" w:tplc="4B4CF876">
      <w:numFmt w:val="bullet"/>
      <w:lvlText w:val="•"/>
      <w:lvlJc w:val="left"/>
      <w:pPr>
        <w:ind w:left="3195" w:hanging="361"/>
      </w:pPr>
      <w:rPr>
        <w:rFonts w:hint="default"/>
        <w:lang w:val="en-US" w:eastAsia="en-US" w:bidi="en-US"/>
      </w:rPr>
    </w:lvl>
    <w:lvl w:ilvl="4" w:tplc="6C08E1F2">
      <w:numFmt w:val="bullet"/>
      <w:lvlText w:val="•"/>
      <w:lvlJc w:val="left"/>
      <w:pPr>
        <w:ind w:left="4110" w:hanging="361"/>
      </w:pPr>
      <w:rPr>
        <w:rFonts w:hint="default"/>
        <w:lang w:val="en-US" w:eastAsia="en-US" w:bidi="en-US"/>
      </w:rPr>
    </w:lvl>
    <w:lvl w:ilvl="5" w:tplc="BCB64256">
      <w:numFmt w:val="bullet"/>
      <w:lvlText w:val="•"/>
      <w:lvlJc w:val="left"/>
      <w:pPr>
        <w:ind w:left="5025" w:hanging="361"/>
      </w:pPr>
      <w:rPr>
        <w:rFonts w:hint="default"/>
        <w:lang w:val="en-US" w:eastAsia="en-US" w:bidi="en-US"/>
      </w:rPr>
    </w:lvl>
    <w:lvl w:ilvl="6" w:tplc="290C14DC">
      <w:numFmt w:val="bullet"/>
      <w:lvlText w:val="•"/>
      <w:lvlJc w:val="left"/>
      <w:pPr>
        <w:ind w:left="5940" w:hanging="361"/>
      </w:pPr>
      <w:rPr>
        <w:rFonts w:hint="default"/>
        <w:lang w:val="en-US" w:eastAsia="en-US" w:bidi="en-US"/>
      </w:rPr>
    </w:lvl>
    <w:lvl w:ilvl="7" w:tplc="B72E0C98">
      <w:numFmt w:val="bullet"/>
      <w:lvlText w:val="•"/>
      <w:lvlJc w:val="left"/>
      <w:pPr>
        <w:ind w:left="6855" w:hanging="361"/>
      </w:pPr>
      <w:rPr>
        <w:rFonts w:hint="default"/>
        <w:lang w:val="en-US" w:eastAsia="en-US" w:bidi="en-US"/>
      </w:rPr>
    </w:lvl>
    <w:lvl w:ilvl="8" w:tplc="70BC6334">
      <w:numFmt w:val="bullet"/>
      <w:lvlText w:val="•"/>
      <w:lvlJc w:val="left"/>
      <w:pPr>
        <w:ind w:left="7770" w:hanging="361"/>
      </w:pPr>
      <w:rPr>
        <w:rFonts w:hint="default"/>
        <w:lang w:val="en-US" w:eastAsia="en-US" w:bidi="en-US"/>
      </w:rPr>
    </w:lvl>
  </w:abstractNum>
  <w:abstractNum w:abstractNumId="2" w15:restartNumberingAfterBreak="0">
    <w:nsid w:val="55351B74"/>
    <w:multiLevelType w:val="hybridMultilevel"/>
    <w:tmpl w:val="ACBACAF0"/>
    <w:lvl w:ilvl="0" w:tplc="D8C24044">
      <w:start w:val="1"/>
      <w:numFmt w:val="decimal"/>
      <w:lvlText w:val="%1."/>
      <w:lvlJc w:val="left"/>
      <w:pPr>
        <w:ind w:left="121" w:hanging="219"/>
      </w:pPr>
      <w:rPr>
        <w:rFonts w:ascii="Calibri" w:eastAsia="Calibri" w:hAnsi="Calibri" w:cs="Calibri" w:hint="default"/>
        <w:w w:val="100"/>
        <w:sz w:val="22"/>
        <w:szCs w:val="22"/>
        <w:lang w:val="en-US" w:eastAsia="en-US" w:bidi="en-US"/>
      </w:rPr>
    </w:lvl>
    <w:lvl w:ilvl="1" w:tplc="C212C8D8">
      <w:numFmt w:val="bullet"/>
      <w:lvlText w:val="•"/>
      <w:lvlJc w:val="left"/>
      <w:pPr>
        <w:ind w:left="1068" w:hanging="219"/>
      </w:pPr>
      <w:rPr>
        <w:rFonts w:hint="default"/>
        <w:lang w:val="en-US" w:eastAsia="en-US" w:bidi="en-US"/>
      </w:rPr>
    </w:lvl>
    <w:lvl w:ilvl="2" w:tplc="903021E0">
      <w:numFmt w:val="bullet"/>
      <w:lvlText w:val="•"/>
      <w:lvlJc w:val="left"/>
      <w:pPr>
        <w:ind w:left="2016" w:hanging="219"/>
      </w:pPr>
      <w:rPr>
        <w:rFonts w:hint="default"/>
        <w:lang w:val="en-US" w:eastAsia="en-US" w:bidi="en-US"/>
      </w:rPr>
    </w:lvl>
    <w:lvl w:ilvl="3" w:tplc="CF6E68F2">
      <w:numFmt w:val="bullet"/>
      <w:lvlText w:val="•"/>
      <w:lvlJc w:val="left"/>
      <w:pPr>
        <w:ind w:left="2964" w:hanging="219"/>
      </w:pPr>
      <w:rPr>
        <w:rFonts w:hint="default"/>
        <w:lang w:val="en-US" w:eastAsia="en-US" w:bidi="en-US"/>
      </w:rPr>
    </w:lvl>
    <w:lvl w:ilvl="4" w:tplc="7F6E3B0A">
      <w:numFmt w:val="bullet"/>
      <w:lvlText w:val="•"/>
      <w:lvlJc w:val="left"/>
      <w:pPr>
        <w:ind w:left="3912" w:hanging="219"/>
      </w:pPr>
      <w:rPr>
        <w:rFonts w:hint="default"/>
        <w:lang w:val="en-US" w:eastAsia="en-US" w:bidi="en-US"/>
      </w:rPr>
    </w:lvl>
    <w:lvl w:ilvl="5" w:tplc="72F46EFC">
      <w:numFmt w:val="bullet"/>
      <w:lvlText w:val="•"/>
      <w:lvlJc w:val="left"/>
      <w:pPr>
        <w:ind w:left="4860" w:hanging="219"/>
      </w:pPr>
      <w:rPr>
        <w:rFonts w:hint="default"/>
        <w:lang w:val="en-US" w:eastAsia="en-US" w:bidi="en-US"/>
      </w:rPr>
    </w:lvl>
    <w:lvl w:ilvl="6" w:tplc="400209D2">
      <w:numFmt w:val="bullet"/>
      <w:lvlText w:val="•"/>
      <w:lvlJc w:val="left"/>
      <w:pPr>
        <w:ind w:left="5808" w:hanging="219"/>
      </w:pPr>
      <w:rPr>
        <w:rFonts w:hint="default"/>
        <w:lang w:val="en-US" w:eastAsia="en-US" w:bidi="en-US"/>
      </w:rPr>
    </w:lvl>
    <w:lvl w:ilvl="7" w:tplc="27680618">
      <w:numFmt w:val="bullet"/>
      <w:lvlText w:val="•"/>
      <w:lvlJc w:val="left"/>
      <w:pPr>
        <w:ind w:left="6756" w:hanging="219"/>
      </w:pPr>
      <w:rPr>
        <w:rFonts w:hint="default"/>
        <w:lang w:val="en-US" w:eastAsia="en-US" w:bidi="en-US"/>
      </w:rPr>
    </w:lvl>
    <w:lvl w:ilvl="8" w:tplc="2A6010B0">
      <w:numFmt w:val="bullet"/>
      <w:lvlText w:val="•"/>
      <w:lvlJc w:val="left"/>
      <w:pPr>
        <w:ind w:left="7704" w:hanging="219"/>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E2NTE0MDUzNTIyMDZV0lEKTi0uzszPAykwrAUA9vN7fSwAAAA="/>
  </w:docVars>
  <w:rsids>
    <w:rsidRoot w:val="00125312"/>
    <w:rsid w:val="00054E8F"/>
    <w:rsid w:val="00125312"/>
    <w:rsid w:val="001A4ED5"/>
    <w:rsid w:val="004154CD"/>
    <w:rsid w:val="005C00A2"/>
    <w:rsid w:val="00610CCF"/>
    <w:rsid w:val="00627D1E"/>
    <w:rsid w:val="007B183D"/>
    <w:rsid w:val="009B76F3"/>
    <w:rsid w:val="00A56C7D"/>
    <w:rsid w:val="00B423E7"/>
    <w:rsid w:val="00CE706C"/>
    <w:rsid w:val="00DE3CBD"/>
    <w:rsid w:val="00E56DB9"/>
    <w:rsid w:val="00FD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FB3E9CF"/>
  <w15:docId w15:val="{6AC9C296-ED93-47C6-8CF7-6EF5203E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56"/>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2"/>
      <w:ind w:left="119"/>
    </w:pPr>
  </w:style>
  <w:style w:type="paragraph" w:styleId="ListParagraph">
    <w:name w:val="List Paragraph"/>
    <w:basedOn w:val="Normal"/>
    <w:uiPriority w:val="1"/>
    <w:qFormat/>
    <w:pPr>
      <w:spacing w:before="159"/>
      <w:ind w:left="15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4ED5"/>
    <w:pPr>
      <w:tabs>
        <w:tab w:val="center" w:pos="4680"/>
        <w:tab w:val="right" w:pos="9360"/>
      </w:tabs>
    </w:pPr>
  </w:style>
  <w:style w:type="character" w:customStyle="1" w:styleId="HeaderChar">
    <w:name w:val="Header Char"/>
    <w:basedOn w:val="DefaultParagraphFont"/>
    <w:link w:val="Header"/>
    <w:uiPriority w:val="99"/>
    <w:rsid w:val="001A4ED5"/>
    <w:rPr>
      <w:rFonts w:ascii="Calibri" w:eastAsia="Calibri" w:hAnsi="Calibri" w:cs="Calibri"/>
      <w:lang w:bidi="en-US"/>
    </w:rPr>
  </w:style>
  <w:style w:type="paragraph" w:styleId="Footer">
    <w:name w:val="footer"/>
    <w:basedOn w:val="Normal"/>
    <w:link w:val="FooterChar"/>
    <w:uiPriority w:val="99"/>
    <w:unhideWhenUsed/>
    <w:rsid w:val="001A4ED5"/>
    <w:pPr>
      <w:tabs>
        <w:tab w:val="center" w:pos="4680"/>
        <w:tab w:val="right" w:pos="9360"/>
      </w:tabs>
    </w:pPr>
  </w:style>
  <w:style w:type="character" w:customStyle="1" w:styleId="FooterChar">
    <w:name w:val="Footer Char"/>
    <w:basedOn w:val="DefaultParagraphFont"/>
    <w:link w:val="Footer"/>
    <w:uiPriority w:val="99"/>
    <w:rsid w:val="001A4ED5"/>
    <w:rPr>
      <w:rFonts w:ascii="Calibri" w:eastAsia="Calibri" w:hAnsi="Calibri" w:cs="Calibri"/>
      <w:lang w:bidi="en-US"/>
    </w:rPr>
  </w:style>
  <w:style w:type="paragraph" w:styleId="BalloonText">
    <w:name w:val="Balloon Text"/>
    <w:basedOn w:val="Normal"/>
    <w:link w:val="BalloonTextChar"/>
    <w:uiPriority w:val="99"/>
    <w:semiHidden/>
    <w:unhideWhenUsed/>
    <w:rsid w:val="007B1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83D"/>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192562">
      <w:bodyDiv w:val="1"/>
      <w:marLeft w:val="0"/>
      <w:marRight w:val="0"/>
      <w:marTop w:val="0"/>
      <w:marBottom w:val="0"/>
      <w:divBdr>
        <w:top w:val="none" w:sz="0" w:space="0" w:color="auto"/>
        <w:left w:val="none" w:sz="0" w:space="0" w:color="auto"/>
        <w:bottom w:val="none" w:sz="0" w:space="0" w:color="auto"/>
        <w:right w:val="none" w:sz="0" w:space="0" w:color="auto"/>
      </w:divBdr>
    </w:div>
    <w:div w:id="795216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mwd.org/webform/appeal-your-bill" TargetMode="External"/><Relationship Id="rId4" Type="http://schemas.openxmlformats.org/officeDocument/2006/relationships/webSettings" Target="webSettings.xml"/><Relationship Id="rId9" Type="http://schemas.openxmlformats.org/officeDocument/2006/relationships/hyperlink" Target="http://www.emwd.org/MyAccou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Coady, April</dc:creator>
  <cp:lastModifiedBy>Freetage, Allan</cp:lastModifiedBy>
  <cp:revision>2</cp:revision>
  <dcterms:created xsi:type="dcterms:W3CDTF">2020-01-24T15:43:00Z</dcterms:created>
  <dcterms:modified xsi:type="dcterms:W3CDTF">2020-01-24T15:43:00Z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Acrobat PDFMaker 19 for Word</vt:lpwstr>
  </property>
  <property fmtid="{D5CDD505-2E9C-101B-9397-08002B2CF9AE}" pid="4" name="LastSaved">
    <vt:filetime>2020-01-17T00:00:00Z</vt:filetime>
  </property>
</Properties>
</file>